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86R12700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Nevárez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standards for water management in certain areas.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2, Water Code, is amended by adding Subtitle G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SUBTITLE G.  MISCELLANEOUS PROVISIONS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39.  STANDARDS FOR SURFACE WATER AND GROUNDWATER MANAGEMENT IN CERTAIN AREAS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39.0101.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STANDARDS FOR SURFACE WATER AND GROUNDWATER MANAGEMENT IN CERTAIN AREAS.  (a)  This section applies to a county: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bordering the Rio Grande;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overlying the Edwards-Trinity Aquifer;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population greater than 40,000.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Water Development Board shall adopt standards for water management by a conservation and reclamation district in a county to which this section applies.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Standards adopted under this section must address: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groundwater management;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river and spring flow, including flow requirements for the: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Devils River;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Pecos River;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San Felipe Springs.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