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86R11233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confidentiality of certain registered voters.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13.004(c),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following information furnished on a registration application is confidential and does not constitute public information for purposes of Chapter 552,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social security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Texas driver's license number;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number of a personal identification card issued by the Department of Public Safety;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indication that an applicant is interested in working as an election judge;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residence address of the applicant, if the applicant is a federal judge or state judge, as defined by Section 13.0021, the spouse of a federal judge or state judge, </w:t>
      </w:r>
      <w:r>
        <w:rPr>
          <w:u w:val="single"/>
        </w:rPr>
        <w:t xml:space="preserve">the spouse of a peace officer as defined by Article 2.12, Code of Criminal Procedure,</w:t>
      </w:r>
      <w:r>
        <w:t xml:space="preserve"> or an individual to whom Section 552.1175, Government Code, applies and the applicant: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included an affidavit with the registration application describing the applicant's status under this subdivision, including an affidavit under Section 13.0021 if the applicant is a federal judge or state judge or the spouse of a federal judge or state judge;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the registrar with an affidavit describing the applicant's status under this subdivision, including an affidavit under Section 15.0215 if the applicant is a federal judge or state judge or the spouse of a federal judge or state judge;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provided the registrar with a completed form approved by the secretary of state for the purpose of notifying the registrar of the applicant's status under this subdivision;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residence address of the applicant, if the applicant, the applicant's child, or another person in the applicant's household is a victim of family violence as defined by Section 71.004, Family Code, who provided the registrar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protective order issued under Chapter 85, Family Code, or a magistrate's order for emergency protection issued under Article 17.292, Code of Criminal Procedure;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 independent documentary evidence necessary to show that the applicant, the applicant's child, or another person in the applicant's household is a victim of family violence;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residence address of the applicant, if the applicant, the applicant's child, or another person in the applicant's household is a victim of sexual assault or abuse, stalking, or trafficking of persons who provided the registrar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copy of a protective order issued under Chapter 7A or Article 6.09, Code of Criminal Procedure, or a magistrate's order for emergency protection issued under Article 17.292, Code of Criminal Procedure;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other independent documentary evidence necessary to show that the applicant, the applicant's child, or another person in the applicant's household is a victim of sexual assault or abuse, stalking, or trafficking of persons;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residence address of the applicant, if the applicant: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a participant in the address confidentiality program administered by the attorney general under Subchapter C, Chapter 56, Code of Criminal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the registrar with proof of certification under Article 56.84,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