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86R12164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3103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standardization of insurance and health maintenance organization disclosures.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36, Insurance Code, is amended by adding Section 36.008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36.008.</w:t>
      </w:r>
      <w:r>
        <w:rPr>
          <w:u w:val="single"/>
        </w:rPr>
        <w:t xml:space="preserve"> </w:t>
      </w:r>
      <w:r>
        <w:rPr>
          <w:u w:val="single"/>
        </w:rPr>
        <w:t xml:space="preserve"> </w:t>
      </w:r>
      <w:r>
        <w:rPr>
          <w:u w:val="single"/>
        </w:rPr>
        <w:t xml:space="preserve">RULES ON STANDARDIZATION OF DISCLOSURES.  To the extent practicable, the commissioner shall adopt rules that require all insurers authorized to engage in the business of insurance in this state and all health maintenance organizations authorized to engage in the business of a health maintenance organization in this state to provide the same disclosures in each policy or evidence of coverage issued by the insurer or organization.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