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law enforcement agencies enter into the Texas Data Exchange information related to investigations of sexual assault or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Molly Jane's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DUTY TO ENTER INVESTIGATION INFORMATION INTO INTELLIGENCE DATABASE.  (a)  In this section, "database" means the Texas Data Exchange or a successor comprehensive intelligence database.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identifies a person as a suspect in the investigation of a sexual assault or other sex offense, regardless of how the person is identified, shall enter into the database information regarding the agency's investigation of that person.  The information entered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suspect's name and date of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sex offense being investigated;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concurrent physical offenses being investigated;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law enforcement agency investigating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described by Subsection (b) shall remove the information from the database on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agency no longer considers the person a suspect in the relevant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person is charged with the offense being investigated or a similar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fifth anniversary of the date the information was entered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as necessary, remove from the database any information entered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entered into the database under this section is excepted from required disclosure under Chapter 552 in the manner provided by Section 552.108.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420.035, Government Code, as added by this Act, applies only to a pending investigation of a sexual assault or other sex offense, regardless of whether the investigation was commenced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