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3106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Huffman, Zaffirini)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3106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requirement that law enforcement agencies enter into a certain database information related to investigations of sexual assault or other sex offenses.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Molly Jane's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420, Government Code, is amended by adding Section 420.035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420.035.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DUTY TO ENTER CERTAIN INFORMATION INTO VIOLENT CRIMINAL APPREHENSION PROGRAM DATABASE.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"database" means the national database of the Violent Criminal Apprehension Program established and maintained by the Federal Bureau of Investigation, or a successor database.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law enforcement agency in this state shall request access from the Federal Bureau of Investigation to enter information into the database.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law enforcement agency that investigates a sexual assault or other sex offense shall enter into the database the following information regarding the investigation of the sexual assault or other sex offense, as available: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suspect's name and date of birth;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specific offense being investigated;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manner in which the offense was committed, including any pattern of conduct occurring during the course of multiple offenses suspected to have been committed by the suspect;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required by the Federal Bureau of Investigation for inclusion in the database.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entered into the database under this section is excepted from required disclosure under Chapter 552 in the manner provided by Section 552.108.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420.035, Government Code, as added by this Act, applies only to a pending investigation of a sexual assault or other sex offense, regardless of whether the investigation was commenced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3106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