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86R14047 JON-D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3116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task force to conduct a comprehensive study on best practice standards for the detention of persons with intellectual and developmental disabilities.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In this section, "task force" means the task force on best practice standards for the detention of persons with intellectual and developmental disabilities established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task force is established to conduct a comprehensive study on best practice standards for the detention of a person with an intellectual or developmental disability. The study must identify and make recommendations regarding the following with respect to the detention of persons with intellectual and developmental disabilities: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current policies and procedures;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barriers to accommodations and justice;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best practices used in other states;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policies that would improve jail standards;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other issue the task force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Commission on Jail Standards shall appoint the members of the task force. </w:t>
      </w:r>
      <w:r>
        <w:t xml:space="preserve"> </w:t>
      </w:r>
      <w:r>
        <w:t xml:space="preserve">The task force must include at least: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representative of the Commission on Jail Standards;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representative of a statewide organization that advocates for individuals with intellectual and developmental disabilities;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representative of a city or county governmental agency that supports persons with intellectual and developmental disabilities;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one representative of a city or county governmental agency that provides mental health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one representative of a statewide organization that represents municipalities;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one representative of a statewide organization that represents corrections professionals;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one representative of a law enforcement entity;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one representative of a county jail.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member appointed under Subsection (c)(1) of this section serves as the presiding officer of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task force shall prepare a written report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description of the activities of the task 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findings and recommendations of the task force;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plan for how the best practice standards identified by the task force can be implemented statewide;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any proposals for legislation;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any other matter the task force considers appropriate.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Not later than December 1, 2020, the task force shall submit the report prepared under this section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presiding officers of the standing committees of the senate and house of representatives having primary jurisdiction over issues relating to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Commission on Jail Standards shall make the report available to the public on the commission's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task force is abolished and this Act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