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3120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felony offenses committed by an inmate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42.08, Code of Criminal Procedure, is amended by adding Subsection (b-1) to read as follows:</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This subsection applies only to a defendant who is convicted of a felony offense punishable under Section 12.42(d) or 12.425(b), Penal Code, that was committed while the defendant was released on parole or to mandatory supervision.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judge sentencing the defendant may order the sentence for the offense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run concurrently with the sentence for the offense for which the defendant was released on parole or to mandatory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commence immediately on completion of the sentence for the offense for which the defendant was released on parole or to mandatory supervision.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who orders a sentence to be imposed consecutively in the manner described by Subdivision (2)(B) shall, on pronouncing the sentence, order the defendant transferred to the custody of the Texas Department of Criminal Justice for purposes of serving the applicable sentences consecutively as described by that subdivision if the defendant has not been taken into custody by the department following the automatic revocation of the defendant's parole or mandatory supervision under Section 508.285,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508, Government Code, is amended by adding Section 508.285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508.285.</w:t>
      </w:r>
      <w:r>
        <w:rPr>
          <w:u w:val="single"/>
        </w:rPr>
        <w:t xml:space="preserve"> </w:t>
      </w:r>
      <w:r>
        <w:rPr>
          <w:u w:val="single"/>
        </w:rPr>
        <w:t xml:space="preserve"> </w:t>
      </w:r>
      <w:r>
        <w:rPr>
          <w:u w:val="single"/>
        </w:rPr>
        <w:t xml:space="preserve">AUTOMATIC REVOCATION ON CERTAIN FELONY CONVICTIONS. </w:t>
      </w:r>
      <w:r>
        <w:rPr>
          <w:u w:val="single"/>
        </w:rPr>
        <w:t xml:space="preserve"> </w:t>
      </w:r>
      <w:r>
        <w:rPr>
          <w:u w:val="single"/>
        </w:rPr>
        <w:t xml:space="preserve">Notwithstanding any other law, on a releasee's conviction of a felony offense punishable under Section 12.42(d) or 12.425(b), Penal Code, the releasee's parole or mandatory supervision is automatically revoked and the sentence for which the releasee was on parole or mandatory supervision may not be considered to have ceased to operate for purposes of Article 42.08,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