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86R12510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flood insurance coverage requirements for insurance policies issued by the Texas Windstorm Insurance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2210.203, Insurance Code, is amended by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(a-1), the association may not require as a condition for issuing or renewing an insurance policy for a residential property that the applicant provide evidence that the property is covered by a flood insurance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application for initial insurance coverage or a renewal of insurance coverage submitted to the Texas Windstorm Insurance Association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