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86R13209 NC-F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community and economic development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381.004(b),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To stimulate business and commercial activity in a county, </w:t>
      </w:r>
      <w:r>
        <w:rPr>
          <w:u w:val="single"/>
        </w:rPr>
        <w:t xml:space="preserve">including in the incorporated areas of the county,</w:t>
      </w:r>
      <w:r>
        <w:t xml:space="preserve"> the commissioners court of the county may develop and administer a program: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state or local economic development;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small or disadvantaged business development;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to stimulate, encourage, and develop business location and commercial activity in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to promote or advertise the county and its vicinity or conduct a solicitation program to attract conventions, visitors, and businesses;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to improve the extent to which women and minority businesses are awarded county contracts;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to support comprehensive literacy programs for the benefit of county residents;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for the encouragement, promotion, improvement, and application of the arts.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