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3128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return-to-play protocol for students removed from interscholastic athletic activity on the basis of a suspected concussion.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38.157, Education Code, is amended by adding Subsections (d)</w:t>
      </w:r>
      <w:r>
        <w:t xml:space="preserve">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a  treating physician may delegate to an advanced practice registered nurse or physician assistant, acting under the physician's  supervision: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evaluation of a student to be performed under Subsection (a)(1) using established medical protocols based on peer-reviewed scientific evidence;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the written statement required under Subsection (a)(3) indicating that, in the evaluating professional's  judgment, it is safe for the student to return to play.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