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86R5446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exemption of authorized emergency vehicles from vehicle safety inspections.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548.052,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548.052.</w:t>
      </w:r>
      <w:r xml:space="preserve">
        <w:t> </w:t>
      </w:r>
      <w:r xml:space="preserve">
        <w:t> </w:t>
      </w:r>
      <w:r>
        <w:rPr>
          <w:u w:val="single"/>
        </w:rPr>
        <w:t xml:space="preserve">APPLICABILITY</w:t>
      </w:r>
      <w:r>
        <w:t xml:space="preserve"> [</w:t>
      </w:r>
      <w:r>
        <w:rPr>
          <w:strike/>
        </w:rPr>
        <w:t xml:space="preserve">VEHICLES NOT SUBJECT TO INSPECTION</w:t>
      </w:r>
      <w:r>
        <w:t xml:space="preserve">]. </w:t>
      </w:r>
      <w:r>
        <w:t xml:space="preserve"> </w:t>
      </w:r>
      <w:r>
        <w:rPr>
          <w:u w:val="single"/>
        </w:rPr>
        <w:t xml:space="preserve">(a)</w:t>
      </w:r>
      <w:r>
        <w:t xml:space="preserve">  This chapter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trailer, semitrailer, pole trailer, or mobile home moving under or bearing a current factory-delivery license plate or current in-transit license plate;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vehicle moving under or bearing a paper dealer in-transit tag, machinery license, disaster license, parade license, prorate tab, one-trip permit, vehicle temporary transit permit, antique license, custom vehicle license, street rod license, temporary 24-hour permit, or permit license;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trailer, semitrailer, pole trailer, or mobile home having an actual gross weight or registered gross weight of 7,500 pounds or less;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farm machinery, road-building equipment, a farm trailer, or a vehicle required to display a slow-moving-vehicle emblem under Section 547.703;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former military vehicle, as defined by Section 504.502;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vehicle qualified for a tax exemption under Section 152.092, Tax Code;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vehicle for which a certificate of title has been issued but that is not required to be registered.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vehicle safety inspection requirements of this chapter do not apply to an authorized emergency vehicle.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548.510(a),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vehicle described by Section </w:t>
      </w:r>
      <w:r>
        <w:rPr>
          <w:u w:val="single"/>
        </w:rPr>
        <w:t xml:space="preserve">548.052(a)(3)</w:t>
      </w:r>
      <w:r>
        <w:t xml:space="preserve"> [</w:t>
      </w:r>
      <w:r>
        <w:rPr>
          <w:strike/>
        </w:rPr>
        <w:t xml:space="preserve">548.052(3)</w:t>
      </w:r>
      <w:r>
        <w:t xml:space="preserve">] that has an actual gross weight or registered gross weight of more than 4,500 pounds is subject to a fee in the amount of $7.50.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