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 weapon on the premises of a government court or offices utilized by the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written regulations</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written authorization of </w:t>
      </w:r>
      <w:r>
        <w:rPr>
          <w:u w:val="single"/>
        </w:rPr>
        <w:t xml:space="preserve">any</w:t>
      </w:r>
      <w:r>
        <w:t xml:space="preserve"> [</w:t>
      </w:r>
      <w:r>
        <w:rPr>
          <w:strike/>
        </w:rPr>
        <w:t xml:space="preserve">the</w:t>
      </w:r>
      <w:r>
        <w:t xml:space="preserve">] court </w:t>
      </w:r>
      <w:r>
        <w:rPr>
          <w:u w:val="single"/>
        </w:rPr>
        <w:t xml:space="preserve">located on the premises</w:t>
      </w:r>
      <w:r>
        <w:t xml:space="preserve">;</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