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86R24091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3139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3139: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3139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 of a notice of a temporary ex parte protective 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83, Family Code, is amended by adding Section 83.0015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83.0015.</w:t>
      </w:r>
      <w:r>
        <w:rPr>
          <w:u w:val="single"/>
        </w:rPr>
        <w:t xml:space="preserve"> </w:t>
      </w:r>
      <w:r>
        <w:rPr>
          <w:u w:val="single"/>
        </w:rPr>
        <w:t xml:space="preserve"> </w:t>
      </w:r>
      <w:r>
        <w:rPr>
          <w:u w:val="single"/>
        </w:rPr>
        <w:t xml:space="preserve">SERVICE OF NOTICE OF TEMPORARY EX PARTE ORDER.  Notice of a temporary ex parte order issued under this chapter must be served personally on the respondent.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83.0015, Family Code, as added by this Act, applies only to a temporary ex parte protective order issued under Chapter 83, Family Code, on or after the effective date of this Act. A temporary ex parte protective order issued under Chapter 83, Family Code,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