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86R22203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3142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3142:</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3142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Texas Commission on Environmental Quality reminders to public drinking water supply systems regarding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341.0315,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a system to provide automatic reminders to public drinking water supply systems about regular reporting requirements applicable to the systems under the federal Safe Drinking Water Act (42 U.S.C. Section 300f et seq.) and this chapter that relate to commission rules adopted under those laws.  An automatic reminder provided under this subsection is a courtesy.  A public drinking water supply system is responsible for complying with applicable regular reporting requirements regardless of whether the commission provides automatic reminders.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