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w:t xml:space="preserve"> (Senate Sponsor</w:t>
      </w:r>
      <w:r xml:space="preserve">
        <w:t> </w:t>
      </w:r>
      <w:r>
        <w:t xml:space="preserve">-</w:t>
      </w:r>
      <w:r xml:space="preserve">
        <w:t> </w:t>
      </w:r>
      <w:r>
        <w:t xml:space="preserve">Johnson)</w:t>
      </w:r>
      <w:r xml:space="preserve">
        <w:tab wTab="150" tlc="none" cTlc="0"/>
      </w:r>
      <w:r>
        <w:t xml:space="preserve">H.B.</w:t>
      </w:r>
      <w:r xml:space="preserve">
        <w:t> </w:t>
      </w:r>
      <w:r>
        <w:t xml:space="preserve">No.</w:t>
      </w:r>
      <w:r xml:space="preserve">
        <w:t> </w:t>
      </w:r>
      <w:r>
        <w:t xml:space="preserve">3142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May</w:t>
      </w:r>
      <w:r xml:space="preserve">
        <w:t> </w:t>
      </w:r>
      <w:r>
        <w:t xml:space="preserve">7,</w:t>
      </w:r>
      <w:r xml:space="preserve">
        <w:t> </w:t>
      </w:r>
      <w:r>
        <w:t xml:space="preserve">2019, read first time and referred to Committee on Water &amp; Rural Affairs;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Texas Commission on Environmental Quality reminders to public drinking water supply systems regarding reporting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341.0315,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establish a system to provide automatic reminders to public drinking water supply systems about regular reporting requirements applicable to the systems under the federal Safe Drinking Water Act (42 U.S.C. Section 300f et seq.) and this chapter that relate to commission rules adopted under those laws.  An automatic reminder provided under this subsection is a courtesy.  A public drinking water supply system is responsible for complying with applicable regular reporting requirements regardless of whether the commission provides automatic reminders.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