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3143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1,</w:t>
      </w:r>
      <w:r xml:space="preserve">
        <w:t> </w:t>
      </w:r>
      <w:r>
        <w:t xml:space="preserve">2019, read first time and referred to Committee on Natural Resources &amp; Economic Development;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3143</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312.002, Tax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taxing unit that maintains an Internet website shall post the current version of the guidelines and criteria governing tax abatement agreements adopted under this section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312.005,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312.207, Tax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other requirement of law, the public notice of a meeting at which the governing body of a municipality or other taxing unit will consider the approval of a tax abatement agreement with a property owner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location of the reinvestment zone in which the property subject to the agreement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the nature of the improvements or repairs included in the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of the improvements or repairs.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of a meeting required by this section must be given in the manner required by Chapter 551, Government Code, except that the notice must be provided at least 30 days before the scheduled time of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312, Tax Code, is amended by adding Section 312.404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312.404.</w:t>
      </w:r>
      <w:r>
        <w:rPr>
          <w:u w:val="single"/>
        </w:rPr>
        <w:t xml:space="preserve"> </w:t>
      </w:r>
      <w:r>
        <w:rPr>
          <w:u w:val="single"/>
        </w:rPr>
        <w:t xml:space="preserve"> </w:t>
      </w:r>
      <w:r>
        <w:rPr>
          <w:u w:val="single"/>
        </w:rPr>
        <w:t xml:space="preserve">APPROVAL BY GOVERNING BODY.  To be effective, an agreement made under this subchapter must be approved by the governing body of the county or other taxing unit in the manner that the governing body of a municipality authorizes an agreement under Section 312.207.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312.002(c-1), Tax Code, as added by this Act, applies only to the adoption, amendment, repeal, or reauthorization of guidelines and criteria under Section 312.002, Tax Code,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312.005(a-1), Tax Code, as added by this Act, applies only to a tax abatement agreement entered into under Chapter 312 of that code that expires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312.207(c) and (d) and 312.404, Tax Code, as added by this Act, apply only to a tax abatement agreement entered into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