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86R12764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right of a parent appointed as a conservator of a child to attend school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153.073(a),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Unless limited by court order, a parent appointed as a conservator of a child has at all times the right: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to receive information from any other conservator of the child concerning the health, education, and welfare of the child;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to confer with the other parent to the extent possible before making a decision concerning the health, education, and welfare of the child;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of access to medical, dental, psychological, and educational records of the child;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to consult with a physician, dentist, or psychologist of the child;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to consult with school officials concerning the child's welfare and educational status, including school activities;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to attend school activities</w:t>
      </w:r>
      <w:r>
        <w:rPr>
          <w:u w:val="single"/>
        </w:rPr>
        <w:t xml:space="preserve">, including school lunches, performances, and field trips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to be designated on the child's records as a person to be notified in case of an emergency;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to consent to medical, dental, and surgical treatment during an emergency involving an immediate danger to the health and safety of the child;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to manage the estate of the child to the extent the estate has been created by the parent or the parent's family.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