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State Board of Dental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252.001,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of the members appointed under Subsection (a)(1) must be a pediatric dentist.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252.001, Occupations Code, as amended by this Act, applies only to a member of the State Board of Dental Examiners appointed on or after the effective date of this Act.  A member appointed before the effective date of this Act may continue to serve until the expiration of the member's term.  As vacancies occur on the board on and after the effective date of this Act, the governor shall appoint members having the qualifications required by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