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86R13296 AAF-D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Bailes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3161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operation of a vehicle transporting equipment used to load timber.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623.321(a),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may issue a permit under this subchapter, as an alternative to a permit issued under Section 623.011, authorizing a person to operate a vehicle or combination of vehicles that is being used to transport unrefined timber, wood chips, or woody biomass </w:t>
      </w:r>
      <w:r>
        <w:rPr>
          <w:u w:val="single"/>
        </w:rPr>
        <w:t xml:space="preserve">or equipment used to load timber on a vehicle</w:t>
      </w:r>
      <w:r>
        <w:t xml:space="preserve"> in a county identified as a timber producing county in the most recent edition of the Texas A&amp;M Forest Service's Harvest Trends Report as of May 15, 2013, at the weight limits prescribed by Subsection (b).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623.323(f),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This section does not apply to a vehicle or combination of vehicles that are being used to transport unrefined timber, wood chips, or woody biomass </w:t>
      </w:r>
      <w:r>
        <w:rPr>
          <w:u w:val="single"/>
        </w:rPr>
        <w:t xml:space="preserve">or equipment used to load timber on a vehicle</w:t>
      </w:r>
      <w:r>
        <w:t xml:space="preserve"> from: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storage yard to the place of first processing;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outside this state to a place of first processing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3161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