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Menéndez)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3163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parking for persons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469.052,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(b), the standards and specifications adopted by the commission under this chapter must provide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accessible parking space provided in accordance with a requirement of the standards and specifications is paved: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international symbol of access must be painted on the parking space;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"NO PARKING" must be painted on any access aisle adjacent to the parking space;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sign identifying an accessible parking space provided in accordance with a requirement of the standards and specifications must include a statement regarding the potential consequences of illegally parking a vehicle in the space, including the towing of the vehicle or the assessment of a fine or other penalty against the vehicle owner or operator.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504, Transportation Code, is amended by adding Section 504.205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504.205.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PROVIDED WITH PLATES.  The department shall include with each set of specialty license plates issued under this subchapter a document that provides: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laws governing parking for persons with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instructions for reporting alleged violations of Chapter 681.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681.004, Transportation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include with each disabled parking placard a document that provides: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laws governing parking for persons with disabilities;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instructions for reporting alleged violations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681.009(b),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political subdivision must designate a parking space or area by conforming to the standards and specifications adopted by the Texas Commission of Licensing and Regulation under Section </w:t>
      </w:r>
      <w:r>
        <w:rPr>
          <w:u w:val="single"/>
        </w:rPr>
        <w:t xml:space="preserve">469.052, Government Code</w:t>
      </w:r>
      <w:r>
        <w:t xml:space="preserve"> [</w:t>
      </w:r>
      <w:r>
        <w:rPr>
          <w:strike/>
        </w:rPr>
        <w:t xml:space="preserve">5(i), Article 9102, Revised Statutes</w:t>
      </w:r>
      <w:r>
        <w:t xml:space="preserve">], relating to the identification and dimensions of parking spaces for persons with disabilities.  A person who owns or controls private property used for parking may designate a parking space or area without conforming to those standards and specifications, unless required to conform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