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86R12508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Guillen, Pacheco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continuation of land use for an area containing a permanent retail structure after municipal annexation.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43.002(e),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Notwithstanding Subsection (c) and until the 20th anniversary of the date of the annexation of an area that includes a permanent retail structure, a municipality may not prohibit a person from continuing to use the structure for the indoor seasonal sale of retail goods if </w:t>
      </w:r>
      <w:r>
        <w:rPr>
          <w:u w:val="single"/>
        </w:rPr>
        <w:t xml:space="preserve">the annexation became final on or after January 1, 2017, and</w:t>
      </w:r>
      <w:r>
        <w:t xml:space="preserve"> </w:t>
      </w:r>
      <w:r>
        <w:t xml:space="preserve">the structure: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more than 5,000 square feet;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was authorized under the laws of this state to be used for the indoor seasonal sale of retail goods on the effective date of the annexation.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