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86R13190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an applicant for disaster recovery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552.160.</w:t>
      </w:r>
      <w:r>
        <w:rPr>
          <w:u w:val="single"/>
        </w:rPr>
        <w:t xml:space="preserve"> </w:t>
      </w:r>
      <w:r>
        <w:rPr>
          <w:u w:val="single"/>
        </w:rPr>
        <w:t xml:space="preserve"> </w:t>
      </w:r>
      <w:r>
        <w:rPr>
          <w:u w:val="single"/>
        </w:rPr>
        <w:t xml:space="preserve">CONFIDENTIALITY OF PERSONAL INFORMATION OF APPLICANT FOR DISASTER RECOVERY FUNDS.  (a)  In this section, "disaster" has the meaning assigned by Section 418.004.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following information maintained by a governmental body is confidential: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social security number, house number, street name, and telephone number of an individual or household that applies for state or federal disaster recovery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disclosure of which would identify or tend to identify an individual or household that applies for state or federal disaster recovery funds.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street name of and the amount of disaster recovery funds awarded to an individual or household are not confidential after the date on which disaster recovery funds are awarded to the individual or household.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