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3179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costs associated with the statewide assessment program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42.006, Education Code, is amended by adding Subsection (a-6) to read as follows:</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The commissioner by rule shall provide means for each school district and open-enrollment charter school to submit through the Public Education Information Management System to the agency the district's or school's total annual costs incurred relating to the statewide assessment program under Subchapter B, Chapter 39, including the costs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preparation;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