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drugs in breeding stock by or on the prescription of a veterinarian.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801, Occupations Code, is amended by adding Section 801.365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801.365.</w:t>
      </w:r>
      <w:r>
        <w:rPr>
          <w:u w:val="single"/>
        </w:rPr>
        <w:t xml:space="preserve"> </w:t>
      </w:r>
      <w:r>
        <w:rPr>
          <w:u w:val="single"/>
        </w:rPr>
        <w:t xml:space="preserve"> </w:t>
      </w:r>
      <w:r>
        <w:rPr>
          <w:u w:val="single"/>
        </w:rPr>
        <w:t xml:space="preserve">BREEDING STOCK.  (a) </w:t>
      </w:r>
      <w:r>
        <w:rPr>
          <w:u w:val="single"/>
        </w:rPr>
        <w:t xml:space="preserve"> </w:t>
      </w:r>
      <w:r>
        <w:rPr>
          <w:u w:val="single"/>
        </w:rPr>
        <w:t xml:space="preserve">In this section, "breeding stock" means an animal intended by its owner or caretaker, with the input of the veterinarian, to be used for selective mating to maintain or enhance desirable genetic traits in future generations and not intended for human or animal consumption. Desirable genetic traits may include, but not limited to, growth rate and yield of products including eggs, milk, or meat.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veterinarian may administer, prescribe, dispense, or deliver any drug for off-label use in breeding stock.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or caretaker may use a drug described by Subsection (b) in breeding stock in the manner prescribed by a veterinarian.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