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86R12224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drawing for ballot order in a primary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172.082, Election Code, is amended by amending Subsections (b) and (f) and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county chair </w:t>
      </w:r>
      <w:r>
        <w:rPr>
          <w:u w:val="single"/>
        </w:rPr>
        <w:t xml:space="preserve">or the county chair's designee</w:t>
      </w:r>
      <w:r>
        <w:t xml:space="preserve"> shall conduct the drawing unless the county executive committee provides by resolution that the drawing be conducted by the primary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state chair shall conduct the drawing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county chair[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requests that the state chair conduct the drawing;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the county chair or the county chair's designee</w:t>
      </w:r>
      <w:r>
        <w:t xml:space="preserve"> fails to conduct the drawing by the deadline set in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designee appointed by the county chair to conduct the drawing under this section must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county executive committee;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no member of the county executive committee is available to conduct the drawing, a resident of the county served by the committee who is affiliated with the same political party.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172.130(a),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Notwithstanding a conflicting provision of this code, the state chair, or the state chair's designee, may perform any administrative duty of the county chair</w:t>
      </w:r>
      <w:r>
        <w:rPr>
          <w:u w:val="single"/>
        </w:rPr>
        <w:t xml:space="preserve">, county chair's designee,</w:t>
      </w:r>
      <w:r>
        <w:t xml:space="preserve"> or county executive committee related to the conduct of a primary election that has not been performed in the time required by law, including the submission of candidate information under Section 172.029, drawing for ballot order under </w:t>
      </w:r>
      <w:r>
        <w:rPr>
          <w:u w:val="single"/>
        </w:rPr>
        <w:t xml:space="preserve">Section</w:t>
      </w:r>
      <w:r>
        <w:t xml:space="preserve"> </w:t>
      </w:r>
      <w:r>
        <w:t xml:space="preserve">[</w:t>
      </w:r>
      <w:r>
        <w:rPr>
          <w:strike/>
        </w:rPr>
        <w:t xml:space="preserve">Sections</w:t>
      </w:r>
      <w:r>
        <w:t xml:space="preserve">] 172.082 [</w:t>
      </w:r>
      <w:r>
        <w:rPr>
          <w:strike/>
        </w:rPr>
        <w:t xml:space="preserve">and 172.084</w:t>
      </w:r>
      <w:r>
        <w:t xml:space="preserve">], and canvassing returns under Section 172.116.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