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86R6276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expert reports in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74.351, Civil Practice and Remedies Code, is amended by amending Subsections (a)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 health care liability claim, a claimant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not later than the 120th day after the date each defendant's original answer is filed, serve on that party or the party's attorney one or more expert reports, with a curriculum vitae of each expert listed in the report for each physician or health care provider against whom a liability claim is asserted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60th day after the date the claimant files an amended or supplemental pleading that asserts a theory of direct liability against a defendant against whom the claimant had previously asserted only a theory of vicarious liability, serve on that defendant or that defendant's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expert report that addresses at least one theory of direct liability asserted against that defendant in the amended or supplemental pleading;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curriculum vitae of each expert listed in that expert report</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date for serving </w:t>
      </w:r>
      <w:r>
        <w:rPr>
          <w:u w:val="single"/>
        </w:rPr>
        <w:t xml:space="preserve">an expert</w:t>
      </w:r>
      <w:r>
        <w:t xml:space="preserve"> </w:t>
      </w:r>
      <w:r>
        <w:t xml:space="preserve">[</w:t>
      </w:r>
      <w:r>
        <w:rPr>
          <w:strike/>
        </w:rPr>
        <w:t xml:space="preserve">the</w:t>
      </w:r>
      <w:r>
        <w:t xml:space="preserve">] report </w:t>
      </w:r>
      <w:r>
        <w:rPr>
          <w:u w:val="single"/>
        </w:rPr>
        <w:t xml:space="preserve">under Subsection (a)</w:t>
      </w:r>
      <w:r>
        <w:t xml:space="preserve"> may be extended by written agreement of the affected parties.</w:t>
      </w:r>
    </w:p>
    <w:p w:rsidR="003F3435" w:rsidRDefault="0032493E">
      <w:pPr>
        <w:spacing w:line="480" w:lineRule="auto"/>
        <w:ind w:firstLine="720"/>
        <w:jc w:val="both"/>
      </w:pPr>
      <w:r>
        <w:rPr>
          <w:u w:val="single"/>
        </w:rPr>
        <w:t xml:space="preserve">(a-2)</w:t>
      </w:r>
      <w:r xml:space="preserve">
        <w:t> </w:t>
      </w:r>
      <w:r xml:space="preserve">
        <w:t>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 If the claimant does not receive notice of the court's ruling granting the extension until after the </w:t>
      </w:r>
      <w:r>
        <w:rPr>
          <w:u w:val="single"/>
        </w:rPr>
        <w:t xml:space="preserve">applicable</w:t>
      </w:r>
      <w:r>
        <w:t xml:space="preserve"> [</w:t>
      </w:r>
      <w:r>
        <w:rPr>
          <w:strike/>
        </w:rPr>
        <w:t xml:space="preserve">120-day</w:t>
      </w:r>
      <w:r>
        <w:t xml:space="preserve">] deadline </w:t>
      </w:r>
      <w:r>
        <w:rPr>
          <w:u w:val="single"/>
        </w:rPr>
        <w:t xml:space="preserve">under Subsection (a)</w:t>
      </w:r>
      <w:r>
        <w:t xml:space="preserve"> has passed, then the 30-day extension shall run from the date the plaintiff first received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