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86R13385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3187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processing and payment of claims for reimbursement by certain providers under the Medicaid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not later than:</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10th day after the date the claim is received if the claim relates to services provided by a nursing facility, intermediate care facility, or group home;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average,</w:t>
      </w:r>
      <w:r>
        <w:t xml:space="preserve"> [</w:t>
      </w:r>
      <w:r>
        <w:rPr>
          <w:strike/>
        </w:rPr>
        <w:t xml:space="preserve">(ii)</w:t>
      </w:r>
      <w:r>
        <w:t xml:space="preserve">]</w:t>
      </w:r>
      <w:r xml:space="preserve">
        <w:t> </w:t>
      </w:r>
      <w:r xml:space="preserve">
        <w:t> </w:t>
      </w:r>
      <w:r>
        <w:t xml:space="preserve">the </w:t>
      </w:r>
      <w:r>
        <w:rPr>
          <w:u w:val="single"/>
        </w:rPr>
        <w:t xml:space="preserve">15th</w:t>
      </w:r>
      <w:r>
        <w:t xml:space="preserve"> [</w:t>
      </w:r>
      <w:r>
        <w:rPr>
          <w:strike/>
        </w:rPr>
        <w:t xml:space="preserve">30th</w:t>
      </w:r>
      <w:r>
        <w:t xml:space="preserve">] day after the date the claim is received if the claim</w:t>
      </w:r>
      <w:r>
        <w:rPr>
          <w:u w:val="single"/>
        </w:rPr>
        <w:t xml:space="preserve">, including a claim that</w:t>
      </w:r>
      <w:r>
        <w:t xml:space="preserve"> relates to the provision of long-term services and supports</w:t>
      </w:r>
      <w:r>
        <w:rPr>
          <w:u w:val="single"/>
        </w:rPr>
        <w:t xml:space="preserve">, is</w:t>
      </w:r>
      <w:r>
        <w:t xml:space="preserve">  not subject to </w:t>
      </w:r>
      <w:r>
        <w:rPr>
          <w:u w:val="single"/>
        </w:rPr>
        <w:t xml:space="preserve">Paragraph (A)</w:t>
      </w:r>
      <w:r>
        <w:t xml:space="preserve"> [</w:t>
      </w:r>
      <w:r>
        <w:rPr>
          <w:strike/>
        </w:rPr>
        <w:t xml:space="preserve">Subparagraph (i);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45th day after the date the claim is received if the claim is not subject to Subparagraph (i) or (ii);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within a period, not to exceed 60 days, specified by a written agreement between the physician or provider and the managed care organization</w:t>
      </w:r>
      <w:r>
        <w:t xml:space="preserve">];</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w:t>
      </w:r>
      <w:r>
        <w:rPr>
          <w:u w:val="single"/>
        </w:rPr>
        <w:t xml:space="preserve">(7)(B)</w:t>
      </w:r>
      <w:r>
        <w:t xml:space="preserve"> [</w:t>
      </w:r>
      <w:r>
        <w:rPr>
          <w:strike/>
        </w:rPr>
        <w:t xml:space="preserve">(7)(A)(ii)</w:t>
      </w:r>
      <w:r>
        <w:t xml:space="preserve">] on average not later than the </w:t>
      </w:r>
      <w:r>
        <w:rPr>
          <w:u w:val="single"/>
        </w:rPr>
        <w:t xml:space="preserve">15th</w:t>
      </w:r>
      <w:r>
        <w:t xml:space="preserve"> [</w:t>
      </w:r>
      <w:r>
        <w:rPr>
          <w:strike/>
        </w:rPr>
        <w:t xml:space="preserve">21st</w:t>
      </w:r>
      <w:r>
        <w:t xml:space="preserve">] day after the date the claim is received by the organization;</w:t>
      </w:r>
    </w:p>
    <w:p w:rsidR="003F3435" w:rsidRDefault="0032493E">
      <w:pPr>
        <w:spacing w:line="480" w:lineRule="auto"/>
        <w:ind w:firstLine="1440"/>
        <w:jc w:val="both"/>
      </w:pPr>
      <w:r>
        <w:rPr>
          <w:u w:val="single"/>
        </w:rPr>
        <w:t xml:space="preserve">(7-b)</w:t>
      </w:r>
      <w:r>
        <w:rPr>
          <w:u w:val="single"/>
        </w:rPr>
        <w:t xml:space="preserve"> </w:t>
      </w:r>
      <w:r>
        <w:rPr>
          <w:u w:val="single"/>
        </w:rPr>
        <w:t xml:space="preserve"> </w:t>
      </w:r>
      <w:r>
        <w:rPr>
          <w:u w:val="single"/>
        </w:rPr>
        <w:t xml:space="preserve">a requirement that the managed care organization allow a physician or provider to electronically submit documentation necessary for the managed care organization to process a claim for payment for health care services rendered to a recipient under a managed care plan, including additional documentation necessary when the claim is not submitted with documentation reasonably necessary for the managed care organization to process the claim;</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w:t>
      </w:r>
      <w:r>
        <w:t xml:space="preserve"> </w:t>
      </w:r>
      <w:r>
        <w:t xml:space="preserve">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w:t>
      </w:r>
      <w:r>
        <w:rPr>
          <w:u w:val="single"/>
        </w:rPr>
        <w:t xml:space="preserve">(7)(B)</w:t>
      </w:r>
      <w:r>
        <w:t xml:space="preserve"> </w:t>
      </w:r>
      <w:r>
        <w:t xml:space="preserve">[</w:t>
      </w:r>
      <w:r>
        <w:rPr>
          <w:strike/>
        </w:rPr>
        <w:t xml:space="preserve">(7)(A)(ii)</w:t>
      </w:r>
      <w:r>
        <w:t xml:space="preserve">]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w:t>
      </w:r>
      <w:r>
        <w:rPr>
          <w:u w:val="single"/>
        </w:rPr>
        <w:t xml:space="preserve">and allow the electronic submission of claims documentation</w:t>
      </w:r>
      <w:r>
        <w:t xml:space="preserve"> </w:t>
      </w:r>
      <w:r>
        <w:t xml:space="preserve">in accordance with </w:t>
      </w:r>
      <w:r>
        <w:rPr>
          <w:u w:val="single"/>
        </w:rPr>
        <w:t xml:space="preserve">Subdivisions (7) and (7-b)</w:t>
      </w:r>
      <w:r>
        <w:t xml:space="preserve"> </w:t>
      </w:r>
      <w:r>
        <w:t xml:space="preserve">[</w:t>
      </w:r>
      <w:r>
        <w:rPr>
          <w:strike/>
        </w:rPr>
        <w:t xml:space="preserve">Section 843.339, Insurance Code</w:t>
      </w:r>
      <w:r>
        <w:t xml:space="preserve">]; and</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32.0292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32.0292.</w:t>
      </w:r>
      <w:r>
        <w:rPr>
          <w:u w:val="single"/>
        </w:rPr>
        <w:t xml:space="preserve"> </w:t>
      </w:r>
      <w:r>
        <w:rPr>
          <w:u w:val="single"/>
        </w:rPr>
        <w:t xml:space="preserve"> </w:t>
      </w:r>
      <w:r>
        <w:rPr>
          <w:u w:val="single"/>
        </w:rPr>
        <w:t xml:space="preserve">PAYMENT OF CERTAIN TRANSPORTATION CLAIMS. </w:t>
      </w:r>
      <w:r>
        <w:rPr>
          <w:u w:val="single"/>
        </w:rPr>
        <w:t xml:space="preserve"> </w:t>
      </w:r>
      <w:r>
        <w:rPr>
          <w:u w:val="single"/>
        </w:rPr>
        <w:t xml:space="preserve">The executive commissioner shall adopt rules to ensure the commission or the commission's designee pays a claim for nonemergency ambulance services provided to a recipient of medical assistance under this chapter not later than the 15th day after the date the claim for payment is received with documentation reasonably necessary for the commission or the designee to process the claim.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executive commissioner of the Health and Human Services Commission shall adopt the rules necessary to implement Section 32.0292, Human Resources Code, as added by this Act, not later than October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Health and Human Services Commission, in a contract between the commission and a managed care organization under Chapter 533, Government Code, that is entered into or renewed on or after the effective date of this Act, shall require that the managed care organization comply with Sections 533.005(a)(7), (7-a), and (23)(J), Government Code, as amended by this Act, and Section 533.005(a)(7-b),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that those managed care organizations comply with Sections 533.005(a)(7), (7-a), and (23)(J), Government Code, as amended by this Act, and Section 533.005(a)(7-b), Government Code, as added by this Act.  To the extent of a conflict between those provisions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