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86R8070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person who is the subject of a family violence protective order or arrested for or charged with an offense involving family violence to surrender firearms owned by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236, Local Government Code, is amended by adding Section 236.004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236.004.</w:t>
      </w:r>
      <w:r>
        <w:rPr>
          <w:u w:val="single"/>
        </w:rPr>
        <w:t xml:space="preserve"> </w:t>
      </w:r>
      <w:r>
        <w:rPr>
          <w:u w:val="single"/>
        </w:rPr>
        <w:t xml:space="preserve"> </w:t>
      </w:r>
      <w:r>
        <w:rPr>
          <w:u w:val="single"/>
        </w:rPr>
        <w:t xml:space="preserve">COUNTY TASK FORCES FOR SURRENDER AND RETURN OF FIREARMS DUE TO FAMILY VIOLENCE.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center" means a public or private nonprofit organization that provides, as its primary purpose, services to victims of family violence, including the services under Section 51.005(b)(3),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 Penal Code.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"Task force" means a task force for the surrender and return of firearms due to family violence, as created by a county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"Victim of family violence" has the meaning assigned by Section 51.002, Human Resources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county commissioners court shall establish a task force for the surrender and return of firearms due to family violence, including the following members if applicable for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administrative officer of a family violence center or the chief administrator's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of police of the municipality having the largest population in the county or the chief's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sheriff of the county or the sheriff's designee;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judge of a court in the county with jurisdiction over cases involving family violence;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prosecutor with jurisdiction in the county over cases involving family violence.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commissioners court shall call the first meeting of the task force at which the members shall elect a presiding officer. All subsequent meetings shall be held at the call of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may appoint additional members to the task force if necessary for the task force to complete its duties under Subsection (g).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may consult with individuals or organizations having knowledge and experience in the issues of firearms and family violence.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for a member of the task force shall be filled immediately and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develop policy recommendations, model forms, and guidelines for best practices related to the surrender, receipt, storage, return, and disposal of firearms due to an order prohibiting a person from possessing a firearm following a finding of family violence entered by a court or an arrest or charge for an offense involving family violence,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protective order issued under Title 4, Family Code, or Chapter 7A,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magistrate's order of emergency protection issued under Article 17.292,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order setting the conditions of bond for a defendant charged with an offense involving family violence under Article 17.49, Code of Criminal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order granting community supervision to a defendant as described by Article 42A.504, Code of Criminal Procedure.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developing the recommendations, forms, and guidelines required under this section,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 family violence advocacy organization that provides services throughout the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the safety of victims of family violence and law enforcement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due process is provided;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specific guidance on the surrender, receipt, and storage of a firearm and the return or disposal of a firearm;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proof of compliance with orders requiring the surrender of a firearm;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an enforcement option if compliance is not proven within 48 hours of the issuance of an order requiring surrender of a firearm.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 make available all recommendations, forms, and guidelines developed under this section to all judges with jurisdiction over cases involving family violence in the county and all law enforcement agencies with jurisdiction in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shall meet not later than the 90th day following the end of each regular legislative session to review and amend any recommendations, forms, or guidelines developed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odd-numbered year, the task force shall provide the county commissioners court a report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task force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all recommendations, forms, and guidelines developed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practices and procedures in the courts and law enforcement agencies within the county in regard to the surrender, receipt, storage, return, and disposal of firearms due to family violence;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of funding available to implement recommendations.</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commissioners courts of multiple counties may agree to form a regional task force under this section to serve the needs of all counties in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7A.05, Code of Criminal Procedure, is amended by adding Subsection (b-2) to read as follows:</w:t>
      </w:r>
    </w:p>
    <w:p w:rsidR="003F3435" w:rsidRDefault="0032493E">
      <w:pPr>
        <w:spacing w:line="480" w:lineRule="auto"/>
        <w:ind w:firstLine="720"/>
        <w:jc w:val="both"/>
      </w:pPr>
      <w:r>
        <w:rPr>
          <w:u w:val="single"/>
        </w:rPr>
        <w:t xml:space="preserve">(b-2)(1)</w:t>
      </w:r>
      <w:r>
        <w:rPr>
          <w:u w:val="single"/>
        </w:rPr>
        <w:t xml:space="preserve"> </w:t>
      </w:r>
      <w:r>
        <w:rPr>
          <w:u w:val="single"/>
        </w:rPr>
        <w:t xml:space="preserve"> </w:t>
      </w:r>
      <w:r>
        <w:rPr>
          <w:u w:val="single"/>
        </w:rPr>
        <w:t xml:space="preserve">In an order under Subsection (a)(2)(D), if the applicant's relationship to or association with the alleged offender is described by Section 71.0021(b), 71.003, or 71.005, Family Code, the court may also order the alleged offender to surrender all firearms owned by the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order entered under this subsection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notice to the alleged offender;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entering an order under this subsection, the court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17.292, Code of Criminal Procedure, is amended by adding Subsection (l-1) to read as follows:</w:t>
      </w:r>
    </w:p>
    <w:p w:rsidR="003F3435" w:rsidRDefault="0032493E">
      <w:pPr>
        <w:spacing w:line="480" w:lineRule="auto"/>
        <w:ind w:firstLine="720"/>
        <w:jc w:val="both"/>
      </w:pPr>
      <w:r>
        <w:rPr>
          <w:u w:val="single"/>
        </w:rPr>
        <w:t xml:space="preserve">(l-1)(1)</w:t>
      </w:r>
      <w:r>
        <w:rPr>
          <w:u w:val="single"/>
        </w:rPr>
        <w:t xml:space="preserve"> </w:t>
      </w:r>
      <w:r>
        <w:rPr>
          <w:u w:val="single"/>
        </w:rPr>
        <w:t xml:space="preserve"> </w:t>
      </w:r>
      <w:r>
        <w:rPr>
          <w:u w:val="single"/>
        </w:rPr>
        <w:t xml:space="preserve">If an order for emergency protection issued under this article prohibits the defendant from possessing a firearm and if the defendant was arrested for an offense involving family violence, the magistrate may also order the defendant to surrender all firearms owned by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order entered under this subsection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notice to the defendant;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entering an order under this subsection, the magistrate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17.49, Code of Criminal Procedure,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A magistrate may require as a condition of release on bond that a defendant charged with an offense involving family violence:</w:t>
      </w:r>
    </w:p>
    <w:p w:rsidR="003F3435" w:rsidRDefault="0032493E">
      <w:pPr>
        <w:spacing w:line="480" w:lineRule="auto"/>
        <w:ind w:firstLine="1440"/>
        <w:jc w:val="both"/>
      </w:pPr>
      <w:r>
        <w:t xml:space="preserve">(1)</w:t>
      </w:r>
      <w:r xml:space="preserve">
        <w:t> </w:t>
      </w:r>
      <w:r xml:space="preserve">
        <w:t> </w:t>
      </w:r>
      <w:r>
        <w:t xml:space="preserve">refrain from going to or near a residence, school, place of employment, or other location, as specifically described in the bond, frequented by an alleged victim of the offense;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refrain from possessing a firearm, unless the defendant is a peace officer, as defined by Section 1.07, Penal Code, actively engaged in employment as a sworn, full-time paid employee of a state agency or political subdivision;</w:t>
      </w:r>
    </w:p>
    <w:p w:rsidR="003F3435" w:rsidRDefault="0032493E">
      <w:pPr>
        <w:spacing w:line="480" w:lineRule="auto"/>
        <w:ind w:firstLine="1440"/>
        <w:jc w:val="both"/>
      </w:pPr>
      <w:r>
        <w:t xml:space="preserve">(2)</w:t>
      </w:r>
      <w:r xml:space="preserve">
        <w:t> </w:t>
      </w:r>
      <w:r xml:space="preserve">
        <w:t> </w:t>
      </w:r>
      <w:r>
        <w:t xml:space="preserve">carry or wear a global positioning monitoring system device and, except as provided by Subsection (h), pay the costs associated with operating that system in relation to the defendant; or</w:t>
      </w:r>
    </w:p>
    <w:p w:rsidR="003F3435" w:rsidRDefault="0032493E">
      <w:pPr>
        <w:spacing w:line="480" w:lineRule="auto"/>
        <w:ind w:firstLine="1440"/>
        <w:jc w:val="both"/>
      </w:pPr>
      <w:r>
        <w:t xml:space="preserve">(3)</w:t>
      </w:r>
      <w:r xml:space="preserve">
        <w:t> </w:t>
      </w:r>
      <w:r xml:space="preserve">
        <w:t> </w:t>
      </w:r>
      <w:r>
        <w:t xml:space="preserve">except as provided by Subsection (h), if the alleged victim of the offense consents after receiving the information described by Subsection (d), pay the costs associated with providing the victim with an electronic receptor device that:</w:t>
      </w:r>
    </w:p>
    <w:p w:rsidR="003F3435" w:rsidRDefault="0032493E">
      <w:pPr>
        <w:spacing w:line="480" w:lineRule="auto"/>
        <w:ind w:firstLine="2160"/>
        <w:jc w:val="both"/>
      </w:pPr>
      <w:r>
        <w:t xml:space="preserve">(A)</w:t>
      </w:r>
      <w:r xml:space="preserve">
        <w:t> </w:t>
      </w:r>
      <w:r xml:space="preserve">
        <w:t> </w:t>
      </w:r>
      <w:r>
        <w:t xml:space="preserve">is capable of receiving the global positioning monitoring system information from the device carried or worn by the defendant; and</w:t>
      </w:r>
    </w:p>
    <w:p w:rsidR="003F3435" w:rsidRDefault="0032493E">
      <w:pPr>
        <w:spacing w:line="480" w:lineRule="auto"/>
        <w:ind w:firstLine="2160"/>
        <w:jc w:val="both"/>
      </w:pPr>
      <w:r>
        <w:t xml:space="preserve">(B)</w:t>
      </w:r>
      <w:r xml:space="preserve">
        <w:t> </w:t>
      </w:r>
      <w:r xml:space="preserve">
        <w:t> </w:t>
      </w:r>
      <w:r>
        <w:t xml:space="preserve">notifies the victim if the defendant is at or near a location that the defendant has been ordered to refrain from going to or near under Subdivision (1).</w:t>
      </w:r>
    </w:p>
    <w:p w:rsidR="003F3435" w:rsidRDefault="0032493E">
      <w:pPr>
        <w:spacing w:line="480" w:lineRule="auto"/>
        <w:ind w:firstLine="720"/>
        <w:jc w:val="both"/>
      </w:pPr>
      <w:r>
        <w:rPr>
          <w:u w:val="single"/>
        </w:rPr>
        <w:t xml:space="preserve">(c-1)(1)</w:t>
      </w:r>
      <w:r>
        <w:rPr>
          <w:u w:val="single"/>
        </w:rPr>
        <w:t xml:space="preserve"> </w:t>
      </w:r>
      <w:r>
        <w:rPr>
          <w:u w:val="single"/>
        </w:rPr>
        <w:t xml:space="preserve"> </w:t>
      </w:r>
      <w:r>
        <w:rPr>
          <w:u w:val="single"/>
        </w:rPr>
        <w:t xml:space="preserve">If the magistrate imposes a condition described by Subsection (b)(1-a), the magistrate may also enter an order requiring the defendant to surrender all firearms owned by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order entered under this subsection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notice to the defendant;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entering an order under this subsection, the magistrate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42A.504, Code of Criminal Procedure, is amended by amending Subsection (c) and adding Subsections (e) and (f) to read as follows:</w:t>
      </w:r>
    </w:p>
    <w:p w:rsidR="003F3435" w:rsidRDefault="0032493E">
      <w:pPr>
        <w:spacing w:line="480" w:lineRule="auto"/>
        <w:ind w:firstLine="720"/>
        <w:jc w:val="both"/>
      </w:pPr>
      <w:r>
        <w:t xml:space="preserve">(c)</w:t>
      </w:r>
      <w:r xml:space="preserve">
        <w:t> </w:t>
      </w:r>
      <w:r xml:space="preserve">
        <w:t> </w:t>
      </w:r>
      <w:r>
        <w:t xml:space="preserve">If the court grants community supervision to a defendant convicted of an offense involving family violence, the court may require the defendant, at the direction of the supervision officer, to:</w:t>
      </w:r>
    </w:p>
    <w:p w:rsidR="003F3435" w:rsidRDefault="0032493E">
      <w:pPr>
        <w:spacing w:line="480" w:lineRule="auto"/>
        <w:ind w:firstLine="1440"/>
        <w:jc w:val="both"/>
      </w:pPr>
      <w:r>
        <w:t xml:space="preserve">(1)</w:t>
      </w:r>
      <w:r xml:space="preserve">
        <w:t> </w:t>
      </w:r>
      <w:r xml:space="preserve">
        <w:t> </w:t>
      </w:r>
      <w:r>
        <w:t xml:space="preserve">attend a battering intervention and prevention program or counsel with a provider of battering intervention and prevention services if the program or provider has been accredited under Section 4A, Article 42.141, as conforming to program guidelines under that article;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if the referral option under Subdivision (1) is not available, attend counseling sessions for the elimination of violent behavior with a licensed counselor, social worker, or other professional who has completed family violence intervention training that the community justice assistance division of the Texas Department of Criminal Justice has approved, after consultation with the licensing authorities described by Chapters 152, 501, 502, 503, and 505, Occupations Code, and experts in the field of family violence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possessing a firearm, unless the defendant is a peace officer, as defined by Section 1.07, Penal Code, actively engaged in employment as a sworn, full-time paid employee of a state agency or political subdivision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under Subsection (c)(3) requires the defendant to refrain from possessing a firearm, the court may also enter an order requiring the defendant to surrender all firearms owned by the defendant. </w:t>
      </w:r>
      <w:r>
        <w:rPr>
          <w:u w:val="single"/>
        </w:rPr>
        <w:t xml:space="preserve"> </w:t>
      </w:r>
      <w:r>
        <w:rPr>
          <w:u w:val="single"/>
        </w:rPr>
        <w:t xml:space="preserve">Any order entered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to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When entering an order under Subsection (e), the court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85.022, Family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an order under Subsection (b)(6), the court may also order the person to surrender all firearms owned by the person. </w:t>
      </w:r>
      <w:r>
        <w:rPr>
          <w:u w:val="single"/>
        </w:rPr>
        <w:t xml:space="preserve"> </w:t>
      </w:r>
      <w:r>
        <w:rPr>
          <w:u w:val="single"/>
        </w:rPr>
        <w:t xml:space="preserve">Any order entered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When entering an order under Subsection (c-1), the court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Notwithstanding the requirement in Section 236.004, Local Government Code, as added by this Act, that a report be submitted by December 1 of each odd-numbered year, a task force created under that section shall submit its first report to the county commissioners court not later than June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protective order, magistrate's order of emergency protection, order granting community supervision, or order releasing a defendant on bond entered on or after the effective date of this Act. A protective order, magistrate's order of emergency protection, order granting community supervision, or order releasing a defendant on bond entered before the effective date of this Act is governed by the law in effect on the date the order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