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86R21346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Raymond, Muñoz, Jr., Guillen</w:t>
      </w:r>
      <w:r xml:space="preserve">
        <w:tab wTab="150" tlc="none" cTlc="0"/>
      </w:r>
      <w:r>
        <w:t xml:space="preserve">H.B.</w:t>
      </w:r>
      <w:r xml:space="preserve">
        <w:t> </w:t>
      </w:r>
      <w:r>
        <w:t xml:space="preserve">No.</w:t>
      </w:r>
      <w:r xml:space="preserve">
        <w:t> </w:t>
      </w:r>
      <w:r>
        <w:t xml:space="preserve">3193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of a home and community support services agency; increasing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142.006(b),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license issued under this chapter expires </w:t>
      </w:r>
      <w:r>
        <w:rPr>
          <w:u w:val="single"/>
        </w:rPr>
        <w:t xml:space="preserve">three</w:t>
      </w:r>
      <w:r>
        <w:t xml:space="preserve"> [</w:t>
      </w:r>
      <w:r>
        <w:rPr>
          <w:strike/>
        </w:rPr>
        <w:t xml:space="preserve">two</w:t>
      </w:r>
      <w:r>
        <w:t xml:space="preserve">] years after the date of issuance. The executive commissioner by rule may adopt a system under which licenses expire on various dates during the </w:t>
      </w:r>
      <w:r>
        <w:rPr>
          <w:u w:val="single"/>
        </w:rPr>
        <w:t xml:space="preserve">three-year</w:t>
      </w:r>
      <w:r>
        <w:t xml:space="preserve"> [</w:t>
      </w:r>
      <w:r>
        <w:rPr>
          <w:strike/>
        </w:rPr>
        <w:t xml:space="preserve">two-year</w:t>
      </w:r>
      <w:r>
        <w:t xml:space="preserve">] period.  For the year in which a license expiration date is changed, the department shall prorate the license fee on a monthly basis.  Each license holder shall pay only that portion of the license fee allocable to the number of months for which the license is valid.  A license holder shall pay the total license renewal fee at the time of renewal.  The department may issue an initial license for a shorter term to conform expiration dates for a locality or an applicant.  The department may issue a temporary license to an applicant for an initial license.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142.010(a),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by rule shall set license fees for home and community support services agencies in amounts that are reasonable to meet the costs of administering this chapter, except that the fees may not be less than $600 or more than </w:t>
      </w:r>
      <w:r>
        <w:rPr>
          <w:u w:val="single"/>
        </w:rPr>
        <w:t xml:space="preserve">$2,625</w:t>
      </w:r>
      <w:r>
        <w:t xml:space="preserve"> </w:t>
      </w:r>
      <w:r>
        <w:t xml:space="preserve">[</w:t>
      </w:r>
      <w:r>
        <w:rPr>
          <w:strike/>
        </w:rPr>
        <w:t xml:space="preserve">$2,000</w:t>
      </w:r>
      <w:r>
        <w:t xml:space="preserve">] for a license to provide home health, hospice, habilitation, or personal assistance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