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86R6297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the practice of acupuncture.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205.001, Occupations Code, is amended by amending Subdivisions (2) and (4) and adding Subdivision (2-a)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"Acupuncture"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nonsurgical, </w:t>
      </w:r>
      <w:r>
        <w:rPr>
          <w:u w:val="single"/>
        </w:rPr>
        <w:t xml:space="preserve">incisive</w:t>
      </w:r>
      <w:r>
        <w:t xml:space="preserve"> [</w:t>
      </w:r>
      <w:r>
        <w:rPr>
          <w:strike/>
        </w:rPr>
        <w:t xml:space="preserve">nonincisive</w:t>
      </w:r>
      <w:r>
        <w:t xml:space="preserve">] insertion of an acupuncture needle and the application of moxibustion to specific areas of the human body as a primary mode of therapy to treat and mitigate a human condition, including evaluation and assessment of the condition;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in conjunction with the treatment described by Paragraph (A):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the administration of thermal or electrical treatments [</w:t>
      </w:r>
      <w:r>
        <w:rPr>
          <w:strike/>
        </w:rPr>
        <w:t xml:space="preserve">or the recommendation of dietary guidelines</w:t>
      </w:r>
      <w:r>
        <w:t xml:space="preserve">], energy flow exercise, or dietary or herbal supplements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recommendation of dietary guidelines</w:t>
      </w:r>
      <w:r>
        <w:t xml:space="preserve"> [</w:t>
      </w:r>
      <w:r>
        <w:rPr>
          <w:strike/>
        </w:rPr>
        <w:t xml:space="preserve">in conjunction with the treatment described by Paragraph (A)</w:t>
      </w:r>
      <w:r>
        <w:t xml:space="preserve">].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"Acupuncture needle" means a device described by 21 C.F.R. Section 880.5580, as that section existed on January 1, 2019.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"Acupuncturist" means a person who: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holds a license to practice</w:t>
      </w:r>
      <w:r>
        <w:t xml:space="preserve"> [</w:t>
      </w:r>
      <w:r>
        <w:rPr>
          <w:strike/>
        </w:rPr>
        <w:t xml:space="preserve">practices</w:t>
      </w:r>
      <w:r>
        <w:t xml:space="preserve">] acupuncture </w:t>
      </w:r>
      <w:r>
        <w:rPr>
          <w:u w:val="single"/>
        </w:rPr>
        <w:t xml:space="preserve">issued under this chapter</w:t>
      </w:r>
      <w: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directly or indirectly charges a fee for the performance of acupuncture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