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86R9641 ATP-F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Calanni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issue bonds to purchase a voting system or voting system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1301.001(a),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commissioners court of a county may issue bonds authorized under Subtitle A and Chapter 1251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build a county courthouse or jail;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purchase suitable sites in the county and to construct buildings on the sites for homes or schools for dependent or delinquent children;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establish county facilities for needy or indigent persons in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purchase and construct bridges for public purposes in the county or to cross a stream serving as the county's boundary line;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improve and maintain the public roads in the county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equipment necessary for operating the county's voting system;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a new voting system for elections administered in the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