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86R12187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the payment of claims submitted by certain providers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533.00553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533.00553.</w:t>
      </w:r>
      <w:r>
        <w:rPr>
          <w:u w:val="single"/>
        </w:rPr>
        <w:t xml:space="preserve"> </w:t>
      </w:r>
      <w:r>
        <w:rPr>
          <w:u w:val="single"/>
        </w:rPr>
        <w:t xml:space="preserve"> </w:t>
      </w:r>
      <w:r>
        <w:rPr>
          <w:u w:val="single"/>
        </w:rPr>
        <w:t xml:space="preserve">REQUIRED PROCEDURES RELATING TO PROCESSING CLAIMS BY CERTAIN PROVIDERS.  (a) </w:t>
      </w:r>
      <w:r>
        <w:rPr>
          <w:u w:val="single"/>
        </w:rPr>
        <w:t xml:space="preserve"> </w:t>
      </w:r>
      <w:r>
        <w:rPr>
          <w:u w:val="single"/>
        </w:rPr>
        <w:t xml:space="preserve">This section applies to a claim submitted to a managed care organization by a physician or hospital for the provision of health care services to a recipient receiving Medicaid benefits under the organization's managed care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organization may not change the diagnosis or treatment code or other description of a health care procedure associated with a claim subject to this section to a code or other description that will result in a lower reimbursement rate for the provider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evaluation of the claim and decision to make the change is made by a physician employed by the organization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informs the provider in detail of the specific reason for the change.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533.00553, Government Code, as added by this Act, applies to a claim for payment submitted to a managed care organization on or after the effective date of this Act.  A claim for payment submitted before the effective date of this Act is governed by the law in effect on the date the claim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