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3216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72-hour and 144-hour registration permits for commercial motor vehicles, trailers, semitrailers, and motor buses.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502.094,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receipt for a temporary registration permit issued under this section shall be carried in the vehicle at all times during the period for which the permit is valid.  The temporary tag must contain all pertinent information required by this section and must be displayed in the rear window of the vehicle so that the tag is clearly visible and legible when viewed from the rear of the vehicle. </w:t>
      </w:r>
      <w:r>
        <w:rPr>
          <w:u w:val="single"/>
        </w:rPr>
        <w:t xml:space="preserve"> </w:t>
      </w:r>
      <w:r>
        <w:rPr>
          <w:u w:val="single"/>
        </w:rPr>
        <w:t xml:space="preserve">If the vehicle does not have a rear window, the temporary tag must be attached to or carried in the vehicle to allow ready inspection.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