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3217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eligibility requirements for issuance of a teaching certificate.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21.050,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21.050.</w:t>
      </w:r>
      <w:r xml:space="preserve">
        <w:t> </w:t>
      </w:r>
      <w:r xml:space="preserve">
        <w:t> </w:t>
      </w:r>
      <w:r>
        <w:t xml:space="preserve">ACADEMIC DEGREE REQUIRED FOR TEACHING CERTIFICATE; </w:t>
      </w:r>
      <w:r>
        <w:rPr>
          <w:u w:val="single"/>
        </w:rPr>
        <w:t xml:space="preserve">FIELD-BASED EXPERIENCE OR</w:t>
      </w:r>
      <w:r>
        <w:t xml:space="preserve"> </w:t>
      </w:r>
      <w:r>
        <w:t xml:space="preserve">INTERNSHIP.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21.050(a)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who applies for a teaching certificate for which board rules require a bachelor's degree must possess a bachelor's degree received with an academic major or interdisciplinary academic major, including reading, [</w:t>
      </w:r>
      <w:r>
        <w:rPr>
          <w:strike/>
        </w:rPr>
        <w:t xml:space="preserve">other than education,</w:t>
      </w:r>
      <w:r>
        <w:t xml:space="preserve">] that is related to the curriculum as prescribed under Subchapter A, Chapter 28.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board may not require more than 18 semester credit hours of education courses at the baccalaureate level for the granting of a teaching certificate.</w:t>
      </w:r>
      <w:r>
        <w:t xml:space="preserve">]  The board shall provide for a minimum number of semester credit hours of </w:t>
      </w:r>
      <w:r>
        <w:rPr>
          <w:u w:val="single"/>
        </w:rPr>
        <w:t xml:space="preserve">field-based experience or</w:t>
      </w:r>
      <w:r>
        <w:t xml:space="preserve"> internship to be included in the </w:t>
      </w:r>
      <w:r>
        <w:rPr>
          <w:u w:val="single"/>
        </w:rPr>
        <w:t xml:space="preserve">credit</w:t>
      </w:r>
      <w:r>
        <w:t xml:space="preserve"> </w:t>
      </w:r>
      <w:r>
        <w:t xml:space="preserve">hours needed for certification.  The board may propose rules requiring additional credit hours for certification in bilingual education, English as a second language, early childhood education, or special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3217 was passed by the House on April 17, 2019, by the following vote:</w:t>
      </w:r>
      <w:r xml:space="preserve">
        <w:t> </w:t>
      </w:r>
      <w:r xml:space="preserve">
        <w:t> </w:t>
      </w:r>
      <w:r>
        <w:t xml:space="preserve">Yeas 143,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3217 was passed by the Senate on May 10, 2019,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