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3224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study on the creation of a defense under the Solid Waste Disposal Act for persons engaged in certain recycling transactions.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"Commission" means the Texas Commission on Environmental Quality.</w:t>
      </w:r>
    </w:p>
    <w:p w:rsidR="003F3435" w:rsidRDefault="0032493E">
      <w:pPr>
        <w:spacing w:line="480" w:lineRule="auto"/>
        <w:ind w:firstLine="1440"/>
        <w:jc w:val="both"/>
      </w:pPr>
      <w:r>
        <w:t xml:space="preserve">(2)</w:t>
      </w:r>
      <w:r xml:space="preserve">
        <w:t> </w:t>
      </w:r>
      <w:r xml:space="preserve">
        <w:t> </w:t>
      </w:r>
      <w:r>
        <w:t xml:space="preserve">"Recyclable material" has the meaning assigned by 42 U.S.C. Section 9627(b).</w:t>
      </w:r>
    </w:p>
    <w:p w:rsidR="003F3435" w:rsidRDefault="0032493E">
      <w:pPr>
        <w:spacing w:line="480" w:lineRule="auto"/>
        <w:ind w:firstLine="720"/>
        <w:jc w:val="both"/>
      </w:pPr>
      <w:r>
        <w:t xml:space="preserve">(b)</w:t>
      </w:r>
      <w:r xml:space="preserve">
        <w:t> </w:t>
      </w:r>
      <w:r xml:space="preserve">
        <w:t> </w:t>
      </w:r>
      <w:r>
        <w:t xml:space="preserve">The commission, in consultation with industry stakeholders, shall:</w:t>
      </w:r>
    </w:p>
    <w:p w:rsidR="003F3435" w:rsidRDefault="0032493E">
      <w:pPr>
        <w:spacing w:line="480" w:lineRule="auto"/>
        <w:ind w:firstLine="1440"/>
        <w:jc w:val="both"/>
      </w:pPr>
      <w:r>
        <w:t xml:space="preserve">(1)</w:t>
      </w:r>
      <w:r xml:space="preserve">
        <w:t> </w:t>
      </w:r>
      <w:r xml:space="preserve">
        <w:t> </w:t>
      </w:r>
      <w:r>
        <w:t xml:space="preserve">conduct a study on the potential impacts of creating a defense to liability under Section 361.271(a)(3) or (4), Health and Safety Code, for persons who arrange for recycling of recyclable material who would not be liable for the recyclable material under 42 U.S.C. Section 9607(a)(3) or (4) based on the person meeting the applicable criteria established under 42 U.S.C. Section 9627; and</w:t>
      </w:r>
    </w:p>
    <w:p w:rsidR="003F3435" w:rsidRDefault="0032493E">
      <w:pPr>
        <w:spacing w:line="480" w:lineRule="auto"/>
        <w:ind w:firstLine="1440"/>
        <w:jc w:val="both"/>
      </w:pPr>
      <w:r>
        <w:t xml:space="preserve">(2)</w:t>
      </w:r>
      <w:r xml:space="preserve">
        <w:t> </w:t>
      </w:r>
      <w:r xml:space="preserve">
        <w:t> </w:t>
      </w:r>
      <w:r>
        <w:t xml:space="preserve">propose legislative recommendations based on the study.</w:t>
      </w:r>
    </w:p>
    <w:p w:rsidR="003F3435" w:rsidRDefault="0032493E">
      <w:pPr>
        <w:spacing w:line="480" w:lineRule="auto"/>
        <w:ind w:firstLine="720"/>
        <w:jc w:val="both"/>
      </w:pPr>
      <w:r>
        <w:t xml:space="preserve">(c)</w:t>
      </w:r>
      <w:r xml:space="preserve">
        <w:t> </w:t>
      </w:r>
      <w:r xml:space="preserve">
        <w:t> </w:t>
      </w:r>
      <w:r>
        <w:t xml:space="preserve">The commission shall establish a workgroup that includes industry stakeholders for the purpose of assisting the commission in proposing legislative recommendations under Subsection (b)(2) of this section.</w:t>
      </w:r>
    </w:p>
    <w:p w:rsidR="003F3435" w:rsidRDefault="0032493E">
      <w:pPr>
        <w:spacing w:line="480" w:lineRule="auto"/>
        <w:ind w:firstLine="720"/>
        <w:jc w:val="both"/>
      </w:pPr>
      <w:r>
        <w:t xml:space="preserve">(d)</w:t>
      </w:r>
      <w:r xml:space="preserve">
        <w:t> </w:t>
      </w:r>
      <w:r xml:space="preserve">
        <w:t> </w:t>
      </w:r>
      <w:r>
        <w:t xml:space="preserve">Not later than January 15, 2021, the commission shall submit to the legislature a report on the findings of the study and legislative recommendations based on the study.</w:t>
      </w:r>
    </w:p>
    <w:p w:rsidR="003F3435" w:rsidRDefault="0032493E">
      <w:pPr>
        <w:spacing w:line="480" w:lineRule="auto"/>
        <w:ind w:firstLine="720"/>
        <w:jc w:val="both"/>
      </w:pPr>
      <w:r>
        <w:t xml:space="preserve">(e)</w:t>
      </w:r>
      <w:r xml:space="preserve">
        <w:t> </w:t>
      </w:r>
      <w:r xml:space="preserve">
        <w:t> </w:t>
      </w:r>
      <w:r>
        <w:t xml:space="preserve">This Act expires August 31,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3224 was passed by the House on April 30, 2019, by the following vote:</w:t>
      </w:r>
      <w:r xml:space="preserve">
        <w:t> </w:t>
      </w:r>
      <w:r xml:space="preserve">
        <w:t> </w:t>
      </w:r>
      <w:r>
        <w:t xml:space="preserve">Yeas 143, Nays 3, 2 present, not voting; and that the House concurred in Senate amendments to H.B. No. 3224 on May 24, 2019, by the following vote:</w:t>
      </w:r>
      <w:r xml:space="preserve">
        <w:t> </w:t>
      </w:r>
      <w:r xml:space="preserve">
        <w:t> </w:t>
      </w:r>
      <w:r>
        <w:t xml:space="preserve">Yeas 138, Nays 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3224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