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86R22582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3224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3224:</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defense under the Solid Waste Disposal Act for persons engaged in certain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361.2755.</w:t>
      </w:r>
      <w:r>
        <w:rPr>
          <w:u w:val="single"/>
        </w:rPr>
        <w:t xml:space="preserve"> </w:t>
      </w:r>
      <w:r>
        <w:rPr>
          <w:u w:val="single"/>
        </w:rPr>
        <w:t xml:space="preserve"> </w:t>
      </w:r>
      <w:r>
        <w:rPr>
          <w:u w:val="single"/>
        </w:rPr>
        <w:t xml:space="preserve">RECYCLABLE MATERIAL; DEFENSE.  (a)  In this section, "recyclable material" has the meaning assigned by 42 U.S.C. Section 9627(b), except that the term does not include scrap metal.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arranges for recycling of recyclable material is not responsible for the recyclable material under Section 361.271(a)(3) or (4) if the person can establish by a preponderance of the evidence that the person would not be liable with respect to the recyclable material under 42 U.S.C. Section 9607(a)(3) or (4) based on the person meeting the criteria established under 42 U.S.C. Section 9627 relating to transactions involving that type of recyclable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