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86R10323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Johnson of Harris, Allen, White,</w:t>
      </w:r>
      <w:r xml:space="preserve">
        <w:tab wTab="150" tlc="none" cTlc="0"/>
      </w:r>
      <w:r>
        <w:t xml:space="preserve">H.B.</w:t>
      </w:r>
      <w:r xml:space="preserve">
        <w:t> </w:t>
      </w:r>
      <w:r>
        <w:t xml:space="preserve">No.</w:t>
      </w:r>
      <w:r xml:space="preserve">
        <w:t> </w:t>
      </w:r>
      <w:r>
        <w:t xml:space="preserve">3227</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female inmate's access to programs offered to inmates of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501, Government Code, is amended by adding Section 501.026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501.026.</w:t>
      </w:r>
      <w:r>
        <w:rPr>
          <w:u w:val="single"/>
        </w:rPr>
        <w:t xml:space="preserve"> </w:t>
      </w:r>
      <w:r>
        <w:rPr>
          <w:u w:val="single"/>
        </w:rPr>
        <w:t xml:space="preserve"> </w:t>
      </w:r>
      <w:r>
        <w:rPr>
          <w:u w:val="single"/>
        </w:rPr>
        <w:t xml:space="preserve">ACCESS TO PROGRAMS BY FEMALE INMATES.  (a)  The department shall develop and implement policies that increase and promote a female inmate's access to programs offered to inmates in the custody of the department, including educational, vocational, substance use treatment, rehabilitation, life skills training, and prerelease programs.  The department may not reduce or limit a male inmate's access to a program to meet the requirements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of each year,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and submit to the governor, the lieutenant governor, the speaker of the house of representatives, each standing committee of the legislature having primary jurisdiction over the department, and the reentry task force described by Section 501.098 a written report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any department policies that were created, modified, or eliminated during the preceding year to meet the requirements of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list of programs available to female inmates in the custody of the department during the preceding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report on the department's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Department of Criminal Justice shall develop and implement the policies required by Section 501.026,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Department of Criminal Justice shall submit the first report required by Section 501.026, Government Code, as added by this Act, not later than December 31,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