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and access to certain programs and services for persons in the custody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AVAILABILITY OF PEER SUPPORT SERVICES.  (a)  The department shall adopt a policy to increase the availability of formal and informal peer support services, including certified peer specialist services, to a person confined in a facility operated by or under contract with the department, including a state jail felony facility, substance abuse felony punishment facility, or intermediate sanction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persons who have previously been convicted of an offense, including releasees on parole or mandatory supervision and defendants on community supervision, to serve as certified peer specialists in a facility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conditions under which a person described by Subdivision (1) may serve as a certified peer specialist;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for persons confined in a facility described by Subsection (a) to serve in a peer support role, provided that the persons are trained and supervised by a community-based organization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policy adopted under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community-based organizations that provide peer specialist training, including training in any of the following peer support specialties: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peer specialist;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peer reentry specialist;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peer recovery specialist;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peer support specialty recognized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and assist persons described by Subsection (b)(3), with particular emphasis on persons who have been involved with programs or services relating to substance abuse or behavioral health, to participate in training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ACCESS TO PROGRAMS BY FEMALE INMATES.  (a)  The department shall develop and implement policies that increase and promote a female inmate's access to programs offered to inmates in the custody of the department, including educational, vocational, substance use treatment, rehabilitation, life skills training, and prerelease programs.  The department may not reduce or limit a male inmate's access to a program to meet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to the governor, the lieutenant governor, the speaker of the house of representatives, each standing committee of the legislature having primary jurisdiction over the department, and the reentry task force described by Section 501.098 a written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department policies that were created, modified, or eliminated during the preceding year to 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programs available to female inmates in the custody of the department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Texas Department of Criminal Justice shall adopt and implement the policy required by Section 493.032,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As soon as practicable after the effective date of this Act, the Texas Department of Criminal Justice shall develop and implement the policies required by Section 501.026, Government Code, as added by this Act.</w:t>
      </w:r>
    </w:p>
    <w:p w:rsidR="003F3435" w:rsidRDefault="0032493E">
      <w:pPr>
        <w:spacing w:line="480" w:lineRule="auto"/>
        <w:ind w:firstLine="720"/>
        <w:jc w:val="both"/>
      </w:pPr>
      <w:r>
        <w:t xml:space="preserve">(b)</w:t>
      </w:r>
      <w:r xml:space="preserve">
        <w:t> </w:t>
      </w:r>
      <w:r xml:space="preserve">
        <w:t> </w:t>
      </w:r>
      <w:r>
        <w:t xml:space="preserve">The Texas Department of Criminal Justice shall submit the first report required by Section 501.026, Government Code, as added by this Act, not later than December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3227 was passed by the House on April 17, 2019, by the following vote:</w:t>
      </w:r>
      <w:r xml:space="preserve">
        <w:t> </w:t>
      </w:r>
      <w:r xml:space="preserve">
        <w:t> </w:t>
      </w:r>
      <w:r>
        <w:t xml:space="preserve">Yeas 143, Nays 0, 1 present, not voting; and that the House concurred in Senate amendments to H.B. No. 3227 on May 24, 2019, by the following vote:</w:t>
      </w:r>
      <w:r xml:space="preserve">
        <w:t> </w:t>
      </w:r>
      <w:r xml:space="preserve">
        <w:t> </w:t>
      </w:r>
      <w:r>
        <w:t xml:space="preserve">Yeas 140,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3227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