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expedited credentialing process for certain Medicaid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531.02118, Government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 may:</w:t>
      </w:r>
    </w:p>
    <w:p w:rsidR="003F3435" w:rsidRDefault="0032493E">
      <w:pPr>
        <w:spacing w:line="480" w:lineRule="auto"/>
        <w:ind w:firstLine="1440"/>
        <w:jc w:val="both"/>
      </w:pPr>
      <w:r>
        <w:t xml:space="preserve">(1)</w:t>
      </w:r>
      <w:r xml:space="preserve">
        <w:t> </w:t>
      </w:r>
      <w:r xml:space="preserve">
        <w:t> </w:t>
      </w:r>
      <w:r>
        <w:t xml:space="preserve">share information in the database established under Subchapter C, Chapter 32, Human Resources Code, with the centralized credentialing entity; and</w:t>
      </w:r>
    </w:p>
    <w:p w:rsidR="003F3435" w:rsidRDefault="0032493E">
      <w:pPr>
        <w:spacing w:line="480" w:lineRule="auto"/>
        <w:ind w:firstLine="1440"/>
        <w:jc w:val="both"/>
      </w:pPr>
      <w:r>
        <w:t xml:space="preserve">(2)</w:t>
      </w:r>
      <w:r xml:space="preserve">
        <w:t> </w:t>
      </w:r>
      <w:r xml:space="preserve">
        <w:t> </w:t>
      </w:r>
      <w:r>
        <w:t xml:space="preserve">require all </w:t>
      </w:r>
      <w:r>
        <w:rPr>
          <w:u w:val="single"/>
        </w:rPr>
        <w:t xml:space="preserve">Medicaid</w:t>
      </w:r>
      <w:r>
        <w:t xml:space="preserve"> </w:t>
      </w:r>
      <w:r>
        <w:t xml:space="preserve">managed care organizations [</w:t>
      </w:r>
      <w:r>
        <w:rPr>
          <w:strike/>
        </w:rPr>
        <w:t xml:space="preserve">contracting with the commission to provide health care services to Medicaid recipients under a managed care plan issued by the organization</w:t>
      </w:r>
      <w:r>
        <w:t xml:space="preserve">]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develop an expedited credentialing process for a physician licensed in this state and require all Medicaid managed care organizations to use the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develop and implement the expedited credentialing process described by Section 531.02118(e),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