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suspension of accountability sanctions for public schools and to studies on accountability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39, Education Code, is amended by adding Section 39.335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39.335.</w:t>
      </w:r>
      <w:r>
        <w:rPr>
          <w:u w:val="single"/>
        </w:rPr>
        <w:t xml:space="preserve"> </w:t>
      </w:r>
      <w:r>
        <w:rPr>
          <w:u w:val="single"/>
        </w:rPr>
        <w:t xml:space="preserve"> </w:t>
      </w:r>
      <w:r>
        <w:rPr>
          <w:u w:val="single"/>
        </w:rPr>
        <w:t xml:space="preserve">ALTERNATIVE ACCOUNTABILITY INSTRUMENT STUDY.  (a) </w:t>
      </w:r>
      <w:r>
        <w:rPr>
          <w:u w:val="single"/>
        </w:rPr>
        <w:t xml:space="preserve"> </w:t>
      </w:r>
      <w:r>
        <w:rPr>
          <w:u w:val="single"/>
        </w:rPr>
        <w:t xml:space="preserve">The agency shall conduct a study on potential alternative assessment instruments that may be used for purposes of the state accountability system instead of  the assessment instruments adopted under Section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agency shall submit a report to the legislature that includes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TEMPORARY SUSPENSION OF SANCTIONS; ASSESSMENT INSTRUMENT STUDY. </w:t>
      </w:r>
      <w:r>
        <w:rPr>
          <w:u w:val="single"/>
        </w:rPr>
        <w:t xml:space="preserve"> </w:t>
      </w:r>
      <w:r>
        <w:rPr>
          <w:u w:val="single"/>
        </w:rPr>
        <w:t xml:space="preserve">(a) </w:t>
      </w:r>
      <w:r>
        <w:rPr>
          <w:u w:val="single"/>
        </w:rPr>
        <w:t xml:space="preserve"> </w:t>
      </w:r>
      <w:r>
        <w:rPr>
          <w:u w:val="single"/>
        </w:rPr>
        <w:t xml:space="preserve">Notwithstanding any other law, interventions and sanctions under this chapter may not be applied to a school district or campus for an unacceptable performance rating under Section 39.054 received for the 2019-2020 or 2020-2021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performance rating assigned to a school district or campus for the 2019-2020 or 2020-2021 school year may not be used as the basis for the imposition of any intervention or sanction authorized by this chapter after the 2020-2021 school year, including an intervention or sanction authorized by Section 39A.101 or 39A.111.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conduct a study to determine whether, for each applicable grade level, each assessment instrument administered under Section 39.023(a) is written at the appropriate reading level for students in that grade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study required by Subsection (c), the commissioner shall provide notice of and hold at least one public hearing to receive public comment.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2020, the commissioner shall submit a report to the legislature that includes the results of the study, a summary of the comments from the public hearing or hearings,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report submitted by the commissioner under Subsection (e) indicates that any assessment instrument adopted under Section 39.023(a) was written at a reading level above the grade level of the students to which the assessment instrument was administered, the commissioner shall revise the performance standard for that assessment instrument under Section 39.0241 as necessary to more accurately reflect student performance.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39A.907, Education Code, as added by 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