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Landgraf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3238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motion to transfer venue based on the joinder of certain defendants.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15, Civil Practice and Remedies Code, is amended by adding Section 15.0635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15.0635.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TRANSFER DUE TO IMPROPER JOINDER.  (a) </w:t>
      </w:r>
      <w:r>
        <w:rPr>
          <w:u w:val="single"/>
        </w:rPr>
        <w:t xml:space="preserve"> </w:t>
      </w:r>
      <w:r>
        <w:rPr>
          <w:u w:val="single"/>
        </w:rPr>
        <w:t xml:space="preserve">On motion of a defendant filed and served concurrently with or before the filing of the defendant's answer, a court shall transfer an action to another county of proper venue if the court finds, based on the petition and affidavits submitted by the parties,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defendant was joined in the action for the primary purpose of establishing venue in a county that would not otherwise be a county of proper venue;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facts pleaded concerning a defendant whose connection to a county is the primary basis for establishing venue in the county are materially false.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determining whether a defendant was joined for the primary purpose of establishing venue in a particular county under Subsection (a)(1), the court may consider whether: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trier of fact would impose significant liability on the defendant;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plaintiff that joined the defendant has a good faith intention to prosecute the action and seek judgment against the defendant.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court's decision to grant or deny a transfer under Subsection (a) may be reversible error.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15.0635, Civil Practice and Remedies Code, as added by this Act, applies only to an action filed on or after the effective date of this Act. </w:t>
      </w:r>
      <w:r>
        <w:t xml:space="preserve"> </w:t>
      </w:r>
      <w:r>
        <w:t xml:space="preserve">An action filed before the effective date of this Act is governed by the law in effect immediately before that date, and that law is continued in effect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3238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