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Darby, Geren, Larson</w:t>
      </w:r>
      <w:r xml:space="preserve">
        <w:tab wTab="150" tlc="none" cTlc="0"/>
      </w:r>
      <w:r>
        <w:t xml:space="preserve">H.B.</w:t>
      </w:r>
      <w:r xml:space="preserve">
        <w:t> </w:t>
      </w:r>
      <w:r>
        <w:t xml:space="preserve">No.</w:t>
      </w:r>
      <w:r xml:space="preserve">
        <w:t> </w:t>
      </w:r>
      <w:r>
        <w:t xml:space="preserve">3246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Hancock)</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16,</w:t>
      </w:r>
      <w:r xml:space="preserve">
        <w:t> </w:t>
      </w:r>
      <w:r>
        <w:t xml:space="preserve">2019; April</w:t>
      </w:r>
      <w:r xml:space="preserve">
        <w:t> </w:t>
      </w:r>
      <w:r>
        <w:t xml:space="preserve">17,</w:t>
      </w:r>
      <w:r xml:space="preserve">
        <w:t> </w:t>
      </w:r>
      <w:r>
        <w:t xml:space="preserve">2019, read first time and referred to Committee on Natural Resources &amp; Economic Development; May</w:t>
      </w:r>
      <w:r xml:space="preserve">
        <w:t> </w:t>
      </w:r>
      <w:r>
        <w:t xml:space="preserve">3,</w:t>
      </w:r>
      <w:r xml:space="preserve">
        <w:t> </w:t>
      </w:r>
      <w:r>
        <w:t xml:space="preserve">2019, reported favorably by the following vote:</w:t>
      </w:r>
      <w:r>
        <w:t xml:space="preserve"> </w:t>
      </w:r>
      <w:r>
        <w:t xml:space="preserve"> </w:t>
      </w:r>
      <w:r>
        <w:t xml:space="preserve">Yeas 11, Nays 0; May</w:t>
      </w:r>
      <w:r xml:space="preserve">
        <w:t> </w:t>
      </w:r>
      <w:r>
        <w:t xml:space="preserve">3,</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treatment and recycling for beneficial use of certain waste arising out of or incidental to the drilling for or production of oil or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122.002, Natural Resources Code, is amended to read as follows:</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OWNERSHIP OF FLUID OIL AND GAS WASTE TRANSFERRED FOR TREATMENT AND SUBSEQUENT BENEFICIAL USE.  Unless otherwise expressly provided by </w:t>
      </w:r>
      <w:r>
        <w:rPr>
          <w:u w:val="single"/>
        </w:rPr>
        <w:t xml:space="preserve">an oil or gas lease, a surface use agreement,</w:t>
      </w:r>
      <w:r>
        <w:t xml:space="preserve"> a contract, </w:t>
      </w:r>
      <w:r>
        <w:rPr>
          <w:u w:val="single"/>
        </w:rPr>
        <w:t xml:space="preserve">a</w:t>
      </w:r>
      <w:r>
        <w:t xml:space="preserve"> bill of sale, or </w:t>
      </w:r>
      <w:r>
        <w:rPr>
          <w:u w:val="single"/>
        </w:rPr>
        <w:t xml:space="preserve">another</w:t>
      </w:r>
      <w:r>
        <w:t xml:space="preserve"> </w:t>
      </w:r>
      <w:r>
        <w:t xml:space="preserve">[</w:t>
      </w:r>
      <w:r>
        <w:rPr>
          <w:strike/>
        </w:rPr>
        <w:t xml:space="preserve">other</w:t>
      </w:r>
      <w:r>
        <w:t xml:space="preserve">] legally binding document:</w:t>
      </w:r>
    </w:p>
    <w:p w:rsidR="003F3435" w:rsidRDefault="0032493E">
      <w:pPr>
        <w:spacing w:line="480" w:lineRule="auto"/>
        <w:ind w:firstLine="1440"/>
        <w:jc w:val="both"/>
      </w:pPr>
      <w:r>
        <w:t xml:space="preserve">(1)</w:t>
      </w:r>
      <w:r xml:space="preserve">
        <w:t> </w:t>
      </w:r>
      <w:r xml:space="preserve">
        <w:t> </w:t>
      </w:r>
      <w:r>
        <w:t xml:space="preserve">when fluid oil and gas waste is </w:t>
      </w:r>
      <w:r>
        <w:rPr>
          <w:u w:val="single"/>
        </w:rPr>
        <w:t xml:space="preserve">produced and used by or</w:t>
      </w:r>
      <w:r>
        <w:t xml:space="preserve"> transferred to a person who takes possession of that waste for the purpose of treating the waste for a subsequent beneficial use, the </w:t>
      </w:r>
      <w:r>
        <w:rPr>
          <w:u w:val="single"/>
        </w:rPr>
        <w:t xml:space="preserve">waste</w:t>
      </w:r>
      <w:r>
        <w:t xml:space="preserve"> [</w:t>
      </w:r>
      <w:r>
        <w:rPr>
          <w:strike/>
        </w:rPr>
        <w:t xml:space="preserve">transferred material</w:t>
      </w:r>
      <w:r>
        <w:t xml:space="preserve">] is considered to be the property of the person who takes possession of it for the purpose of treating the waste for subsequent beneficial use until the person transfers the waste or treated waste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person who takes possession of fluid oil and gas waste for the purpose of treating the waste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