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86R13492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3249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Texas emissions reduction plan funds for a study conducted by the Texas A&amp;M Transportation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contract with the Texas A&amp;M Transportation Institute to conduct a study as provided by Section 386.252(a)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w:t>
      </w:r>
      <w:r xml:space="preserve">
        <w:t> </w:t>
      </w:r>
      <w:r xml:space="preserve">
        <w:t> </w:t>
      </w:r>
      <w:r>
        <w:t xml:space="preserve">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$250,000 shall be allocated to the commission to contract with the Texas A&amp;M Transportation Institute to conduct a study to evaluate the relationship between traffic congestion and ozone precursors and to identify effective strategies in reducing nitrogen oxide emissions from transportation sources;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