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86R8949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agreement under which a state party chair serves as a fiscal agent for a county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173.032(c),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state chair may, with the consent of the secretary of state and the </w:t>
      </w:r>
      <w:r>
        <w:rPr>
          <w:u w:val="single"/>
        </w:rPr>
        <w:t xml:space="preserve">county chair or</w:t>
      </w:r>
      <w:r>
        <w:t xml:space="preserve"> county executive committee, if one exists for the county, accept money into the state primary fund on behalf of a county party.</w:t>
      </w:r>
      <w:r xml:space="preserve">
        <w:t> </w:t>
      </w:r>
      <w:r xml:space="preserve">
        <w:t> </w:t>
      </w:r>
      <w:r>
        <w:t xml:space="preserve">The state chair must keep records to track the money that is attributable to a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173, Election Code, is amended by adding Section 173.0341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173.0341.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CHAIR AS FISCAL AGENT FOR COUNTY PARTY.  (a) A state chair, or the designee of a state chair, may enter into an agreement with a county chair under which the state chair will act as a fiscal agent for the county party.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prescribe the form of an agreement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state chair acts as the fiscal agent for a county party in accordance with an agreement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chair shall deliver the completed agreement to the secretary of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filing fee received by the county party under Subchapter C must be made payable to the state party for deposit in the state primary fund;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chair or county executive committee shall make a request in accordance with Section 31.093 to enter into a contract with the county elections administrator to conduct primary elections in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173.031 does not apply to the county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173.061,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173.061.</w:t>
      </w:r>
      <w:r xml:space="preserve">
        <w:t> </w:t>
      </w:r>
      <w:r xml:space="preserve">
        <w:t> </w:t>
      </w:r>
      <w:r>
        <w:t xml:space="preserve">FEE PAID TO COUNTY CHAIR. </w:t>
      </w:r>
      <w:r>
        <w:rPr>
          <w:u w:val="single"/>
        </w:rPr>
        <w:t xml:space="preserve">Except as provided by Section 173.0341(c)(2), the</w:t>
      </w:r>
      <w:r>
        <w:t xml:space="preserve"> [</w:t>
      </w:r>
      <w:r>
        <w:rPr>
          <w:strike/>
        </w:rPr>
        <w:t xml:space="preserve">The</w:t>
      </w:r>
      <w:r>
        <w:t xml:space="preserve">] county chair shall deposit in the county primary fund each filing fee accompanying an application for a place on the ballot filed with the county chair.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