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86R9075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3251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signature verification on an early voting ballot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87.027, Election Code, is amended by adding Subsection (i-1) to read as follows:</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In making the determination under Subsection (i), the Signature Verification committee may only determine whether the handwriting on the certificate and application indicates that the same person executed both signatures.  The committee may not determine that two signatures were not executed by the same person on the basis of which version of the same name the person used,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inclusion of a middle name or initial in one signature that is omitted in the other;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a common nickname in one signature and a formal name in the other;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variation between the two signatures of the order of the person's first, middle, and last name.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87.041, Election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making the determination under Subsection (b)(2), the board may only determine whether the handwriting on the certificate and application indicates that the same person executed both signatures.  The board may not determine that two signatures were not executed by the same person on the basis of which version of the same name the person used,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inclusion of a middle name or initial in one signature that is omitted in the other;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a common nickname in one signature and a formal name in the other;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variation between the two signatures of the order of the person's first, middle, and last name.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