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3254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low income housing tax credits awarded to supportive housing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adding Subsection (d-5) to read as follows: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In allocating low income housing tax credit commitments under Subchapter DD, the department shall, before applying the regional allocation formula prescribed by Section 2306.1115, set aside for supportive housing developments, as defined by Section 2306.67141, not less than the minimum amount of housing tax credits required under Section 2306.67141: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DD, Chapter 2306, Government Code, is amended by adding Section 2306.67141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2306.67141.</w:t>
      </w:r>
      <w:r>
        <w:rPr>
          <w:u w:val="single"/>
        </w:rPr>
        <w:t xml:space="preserve"> </w:t>
      </w:r>
      <w:r>
        <w:rPr>
          <w:u w:val="single"/>
        </w:rPr>
        <w:t xml:space="preserve"> </w:t>
      </w:r>
      <w:r>
        <w:rPr>
          <w:u w:val="single"/>
        </w:rPr>
        <w:t xml:space="preserve">SUPPORTIVE HOUSING DEVELOPMENT SET-ASIDE. </w:t>
      </w:r>
      <w:r>
        <w:rPr>
          <w:u w:val="single"/>
        </w:rPr>
        <w:t xml:space="preserve"> </w:t>
      </w:r>
      <w:r>
        <w:rPr>
          <w:u w:val="single"/>
        </w:rPr>
        <w:t xml:space="preserve">(a) </w:t>
      </w:r>
      <w:r>
        <w:rPr>
          <w:u w:val="single"/>
        </w:rPr>
        <w:t xml:space="preserve"> </w:t>
      </w:r>
      <w:r>
        <w:rPr>
          <w:u w:val="single"/>
        </w:rPr>
        <w:t xml:space="preserve">In this section "Supportive Housing Development" means a residential rental development that is intended for occupancy by households in need of specialized and specific non-medical services in order to maintain independent living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definition of "supportive housing" adopted by the department under the qualified allocation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criteria for supportive housing eligible for the low income housing tax credit program as determined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set aside for eligible supportive housing developments not less than 5 percent of the housing tax credits available for allocation in the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allocate to an individual development more than $1 million in a single application round.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amount of housing tax credits set aside under this section that remains after the initial allocation of housing tax credits is available for allocation to any eligible applicant as provided by the </w:t>
      </w:r>
      <w:r>
        <w:rPr>
          <w:u w:val="single"/>
        </w:rPr>
        <w:t xml:space="preserve">qualified allocation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low income housing tax credits that is submitted on or after the effective date of this Act. An application for low income housing tax credits that is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