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86R19608 JCG-F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Allen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3260</w:t>
      </w:r>
    </w:p>
    <w:p w:rsidR="003F3435" w:rsidRDefault="0032493E">
      <w:pPr>
        <w:spacing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3260: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Geren</w:t>
      </w:r>
      <w:r xml:space="preserve">
        <w:tab wTab="150" tlc="none" cTlc="0"/>
      </w:r>
      <w:r>
        <w:t xml:space="preserve">C.S.H.B.</w:t>
      </w:r>
      <w:r xml:space="preserve">
        <w:t> </w:t>
      </w:r>
      <w:r>
        <w:t xml:space="preserve">No.</w:t>
      </w:r>
      <w:r xml:space="preserve">
        <w:t> </w:t>
      </w:r>
      <w:r>
        <w:t xml:space="preserve">3260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eligibility requirements to obtain a pass for expedited access to the State Capitol.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411.0625, Government Code, is amended by amending Subsection (b) and adding Subsection (d)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To be eligible for a Capitol access pass, a person must meet the eligibility requirements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 xml:space="preserve">
        <w:t> </w:t>
      </w:r>
      <w:r xml:space="preserve">
        <w:t> </w:t>
      </w:r>
      <w:r>
        <w:t xml:space="preserve">applicable to a license to carry a handgun under Subchapter H, other than requirements regarding evidence of handgun proficiency</w:t>
      </w:r>
      <w:r>
        <w:rPr>
          <w:u w:val="single"/>
        </w:rPr>
        <w:t xml:space="preserve">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established by the department under Subsection (d)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For a person who does not meet the eligibility requirements under Subsection (b)(1) on account of a disqualifying criminal conviction, the department shall establish eligibility requirements for a Capitol access pass that include taking into account: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amount of time that has passed following the criminal conviction;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evidence of good standing in the community submitted with an application.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3260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