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86R9291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Harless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removal of certain alcoholic beverages that become unfit for consumption after a natural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A, Chapter 109, Alcoholic Beverage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A. SALVAGED AND INSURED LOSSES</w:t>
      </w:r>
      <w:r>
        <w:rPr>
          <w:u w:val="single"/>
        </w:rPr>
        <w:t xml:space="preserve">; UNINSURED LOSSES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109, Alcoholic Beverage Code, is amended by adding Section 109.09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109.09.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REMOVAL OF UNINSURED BEVERAGES UNFIT FOR CONSUMPTION.  (a)  Uninsured ale, malt liquor, or beer that becomes unfit for human consumption as the result of a natural disaster in an area declared to be a disaster under Section 418.014, Government Code, may be removed from the inventory of a retailer if the removal is agreed to by: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the brewer's permit or manufacturer's license who manufactured the beverage;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wholesaler or distributor that distributed the beverage.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manufacturer or brewer and a wholesaler or distributor who agree to the removal of a beverage under Subsection (a) must hold the retailer from whose inventory the beverage is removed harmless for the cost of the removal.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