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86R11548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3284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prescribing and dispensing controlled substances and monitoring the prescribing and dispensing of controlled substances under the Texas Controlled Substances Act; providing for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481, Health and Safety Code, is amended by adding Sections 481.0751 and 481.0755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481.0751.</w:t>
      </w:r>
      <w:r>
        <w:rPr>
          <w:u w:val="single"/>
        </w:rPr>
        <w:t xml:space="preserve"> </w:t>
      </w:r>
      <w:r>
        <w:rPr>
          <w:u w:val="single"/>
        </w:rPr>
        <w:t xml:space="preserve"> </w:t>
      </w:r>
      <w:r>
        <w:rPr>
          <w:u w:val="single"/>
        </w:rPr>
        <w:t xml:space="preserve">DISPENSING VETERINARIANS.  (a) </w:t>
      </w:r>
      <w:r>
        <w:rPr>
          <w:u w:val="single"/>
        </w:rPr>
        <w:t xml:space="preserve"> </w:t>
      </w:r>
      <w:r>
        <w:rPr>
          <w:u w:val="single"/>
        </w:rPr>
        <w:t xml:space="preserve">This section applies to a veterinarian who holds a registration issued by the Federal Drug Enforcement Administration and dispenses Schedule II, III, IV, or V controlled substances directly to the owner or handler of an animal.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veterinarian dispenses a controlled substance, the veterinarian shall submit to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strength, and quantity of the substance dispensed;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substance was dispensed;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animal;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species, gender, and actual or estimated date of birth of the animal;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and address of the animal's owner;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address, Federal Drug Enforcement Administration number, and telephone number of the veterinarian at the veterinarian's usual place of business.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veterinarian shall retain a record of the information submitted to the board under Subsection (b) for a period of not less than two years after the date the substance is dispensed.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Failure to comply with this section is grounds for disciplinary action by the State Board of Veterinary Medical Examiners.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(a)  Notwithstanding Sections 481.073, 481.074, and 481.075, a person prescribing or dispensing a controlled substance must use the electronic prescription record and may not use a written, oral, or telephonically communicated prescription.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prescriber may issue a written, oral, or telephonically communicated prescription for a controlled substance as authorized under this subchapter only if the prescription is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the same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 electronic prescription drug software;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practitioner who has received a waiver under Subsection (c) from the requirement to use electronic prescribing;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establishing a process by which a practitioner may request and receive a waiver under Subsection (b)(9), not to exceed one year, from the requirement to use electronic prescribing.  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practitioner;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practitioner.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oral, or telephonically communicated prescription must comply with the applicable requirements prescribed by Sections 481.074 and 481.075.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enforce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481.076(a), (f), (g),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w:t>
      </w:r>
      <w:r>
        <w:rPr>
          <w:strike/>
        </w:rPr>
        <w:t xml:space="preserve">authorized officer or member of the department or</w:t>
      </w:r>
      <w:r>
        <w:t xml:space="preserve">]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w:t>
      </w:r>
      <w:r>
        <w:rPr>
          <w:u w:val="single"/>
        </w:rPr>
        <w:t xml:space="preserve">or other</w:t>
      </w:r>
      <w:r>
        <w:t xml:space="preserve"> [</w:t>
      </w:r>
      <w:r>
        <w:rPr>
          <w:strike/>
        </w:rPr>
        <w:t xml:space="preserve">on behalf of a</w:t>
      </w:r>
      <w:r>
        <w:t xml:space="preserve">] law enforcement or prosecutorial official engaged in the administration, investigation, or enforcement of this chapter or another law governing illicit drugs in this state or another state</w:t>
      </w:r>
      <w:r>
        <w:rPr>
          <w:u w:val="single"/>
        </w:rPr>
        <w:t xml:space="preserve">, if the board is provided a warrant, subpoena, or other court order compelling the disclosure</w:t>
      </w:r>
      <w:r>
        <w:t xml:space="preserv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pharmacy technician, as defined by Section 551.003, Occupations Code, acting at the direction of a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health care facility certified by the federal Centers for Medicare and Medicaid Services</w:t>
      </w:r>
      <w:r>
        <w:t xml:space="preserve">.</w:t>
      </w:r>
    </w:p>
    <w:p w:rsidR="003F3435" w:rsidRDefault="0032493E">
      <w:pPr>
        <w:spacing w:line="480" w:lineRule="auto"/>
        <w:ind w:firstLine="720"/>
        <w:jc w:val="both"/>
      </w:pPr>
      <w:r>
        <w:t xml:space="preserve">(f)</w:t>
      </w:r>
      <w:r xml:space="preserve">
        <w:t> </w:t>
      </w:r>
      <w:r xml:space="preserve">
        <w:t> </w:t>
      </w:r>
      <w:r>
        <w:t xml:space="preserve">If the </w:t>
      </w:r>
      <w:r>
        <w:rPr>
          <w:u w:val="single"/>
        </w:rPr>
        <w:t xml:space="preserve">board accesses</w:t>
      </w:r>
      <w:r>
        <w:t xml:space="preserve"> [</w:t>
      </w:r>
      <w:r>
        <w:rPr>
          <w:strike/>
        </w:rPr>
        <w:t xml:space="preserve">director permits access to</w:t>
      </w:r>
      <w:r>
        <w:t xml:space="preserve">] information under Subsection (a)(2) relating to a person licensed or regulated by an agency listed in Subsection (a)(1), the </w:t>
      </w:r>
      <w:r>
        <w:rPr>
          <w:u w:val="single"/>
        </w:rPr>
        <w:t xml:space="preserve">board</w:t>
      </w:r>
      <w:r>
        <w:t xml:space="preserve"> [</w:t>
      </w:r>
      <w:r>
        <w:rPr>
          <w:strike/>
        </w:rPr>
        <w:t xml:space="preserve">director</w:t>
      </w:r>
      <w:r>
        <w:t xml:space="preserve">] shall notify and cooperate with that agency regarding the disposition of the matter before taking action against the person, unless the </w:t>
      </w:r>
      <w:r>
        <w:rPr>
          <w:u w:val="single"/>
        </w:rPr>
        <w:t xml:space="preserve">board</w:t>
      </w:r>
      <w:r>
        <w:t xml:space="preserve"> [</w:t>
      </w:r>
      <w:r>
        <w:rPr>
          <w:strike/>
        </w:rPr>
        <w:t xml:space="preserve">director</w:t>
      </w:r>
      <w:r>
        <w:t xml:space="preserve">] determines that notification is reasonably likely to interfere with an administrative or criminal investigation or prosecution.</w:t>
      </w:r>
    </w:p>
    <w:p w:rsidR="003F3435" w:rsidRDefault="0032493E">
      <w:pPr>
        <w:spacing w:line="480" w:lineRule="auto"/>
        <w:ind w:firstLine="720"/>
        <w:jc w:val="both"/>
      </w:pPr>
      <w:r>
        <w:t xml:space="preserve">(g)</w:t>
      </w:r>
      <w:r xml:space="preserve">
        <w:t> </w:t>
      </w:r>
      <w:r xml:space="preserve">
        <w:t> </w:t>
      </w:r>
      <w:r>
        <w:t xml:space="preserve">If the </w:t>
      </w:r>
      <w:r>
        <w:rPr>
          <w:u w:val="single"/>
        </w:rPr>
        <w:t xml:space="preserve">board provides</w:t>
      </w:r>
      <w:r>
        <w:t xml:space="preserve"> [</w:t>
      </w:r>
      <w:r>
        <w:rPr>
          <w:strike/>
        </w:rPr>
        <w:t xml:space="preserve">director permits</w:t>
      </w:r>
      <w:r>
        <w:t xml:space="preserve">] access to information under Subsection (a)(3) relating to a person licensed or regulated by an agency listed in Subsection (a)(1), the </w:t>
      </w:r>
      <w:r>
        <w:rPr>
          <w:u w:val="single"/>
        </w:rPr>
        <w:t xml:space="preserve">board</w:t>
      </w:r>
      <w:r>
        <w:t xml:space="preserve"> [</w:t>
      </w:r>
      <w:r>
        <w:rPr>
          <w:strike/>
        </w:rPr>
        <w:t xml:space="preserve">director</w:t>
      </w:r>
      <w:r>
        <w:t xml:space="preserve">] shall notify that agency of the disclosure of the information not later than the 10th working day after the date the information is disclosed.</w:t>
      </w:r>
    </w:p>
    <w:p w:rsidR="003F3435" w:rsidRDefault="0032493E">
      <w:pPr>
        <w:spacing w:line="480" w:lineRule="auto"/>
        <w:ind w:firstLine="720"/>
        <w:jc w:val="both"/>
      </w:pPr>
      <w:r>
        <w:t xml:space="preserve">(h)</w:t>
      </w:r>
      <w:r xml:space="preserve">
        <w:t> </w:t>
      </w:r>
      <w:r xml:space="preserve">
        <w:t> </w:t>
      </w:r>
      <w:r>
        <w:t xml:space="preserve">If the </w:t>
      </w:r>
      <w:r>
        <w:rPr>
          <w:u w:val="single"/>
        </w:rPr>
        <w:t xml:space="preserve">board</w:t>
      </w:r>
      <w:r>
        <w:t xml:space="preserve"> [</w:t>
      </w:r>
      <w:r>
        <w:rPr>
          <w:strike/>
        </w:rPr>
        <w:t xml:space="preserve">director</w:t>
      </w:r>
      <w:r>
        <w:t xml:space="preserve">] withholds notification to an agency under Subsection (f), the </w:t>
      </w:r>
      <w:r>
        <w:rPr>
          <w:u w:val="single"/>
        </w:rPr>
        <w:t xml:space="preserve">board</w:t>
      </w:r>
      <w:r>
        <w:t xml:space="preserve"> [</w:t>
      </w:r>
      <w:r>
        <w:rPr>
          <w:strike/>
        </w:rPr>
        <w:t xml:space="preserve">director</w:t>
      </w:r>
      <w:r>
        <w:t xml:space="preserve">] shall notify the agency of the disclosure of the information and the reason for withholding notification when the </w:t>
      </w:r>
      <w:r>
        <w:rPr>
          <w:u w:val="single"/>
        </w:rPr>
        <w:t xml:space="preserve">board</w:t>
      </w:r>
      <w:r>
        <w:t xml:space="preserve"> [</w:t>
      </w:r>
      <w:r>
        <w:rPr>
          <w:strike/>
        </w:rPr>
        <w:t xml:space="preserve">director</w:t>
      </w:r>
      <w:r>
        <w:t xml:space="preserve">] determines that notification is no longer likely to interfere with an administrative or criminal investigation or prosecution.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481, Health and Safety Code, is amended by adding Sections 481.07635, 481.07655, and 481.0768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481.07635.</w:t>
      </w:r>
      <w:r>
        <w:rPr>
          <w:u w:val="single"/>
        </w:rPr>
        <w:t xml:space="preserve"> </w:t>
      </w:r>
      <w:r>
        <w:rPr>
          <w:u w:val="single"/>
        </w:rPr>
        <w:t xml:space="preserve"> </w:t>
      </w:r>
      <w:r>
        <w:rPr>
          <w:u w:val="single"/>
        </w:rPr>
        <w:t xml:space="preserve">PRESCRIPTIONS OF OPIOIDS.  (a)  In this section, "acute pain" means pain with abrupt onset that is caused by an injury or other process that is not ongoing.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initial treatment of acute pain, a prescriber may not issue a prescription for an opioid in an amount that exceeds a 14-day supply.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481.07655.</w:t>
      </w:r>
      <w:r>
        <w:rPr>
          <w:u w:val="single"/>
        </w:rPr>
        <w:t xml:space="preserve"> </w:t>
      </w:r>
      <w:r>
        <w:rPr>
          <w:u w:val="single"/>
        </w:rPr>
        <w:t xml:space="preserve"> </w:t>
      </w:r>
      <w:r>
        <w:rPr>
          <w:u w:val="single"/>
        </w:rPr>
        <w:t xml:space="preserve">LIMITATION OF LIABILITY. </w:t>
      </w:r>
      <w:r>
        <w:rPr>
          <w:u w:val="single"/>
        </w:rPr>
        <w:t xml:space="preserve"> </w:t>
      </w:r>
      <w:r>
        <w:rPr>
          <w:u w:val="single"/>
        </w:rPr>
        <w:t xml:space="preserve">(a) </w:t>
      </w:r>
      <w:r>
        <w:rPr>
          <w:u w:val="single"/>
        </w:rPr>
        <w:t xml:space="preserve"> </w:t>
      </w:r>
      <w:r>
        <w:rPr>
          <w:u w:val="single"/>
        </w:rPr>
        <w:t xml:space="preserve">A prescriber or dispenser is not liable in a civil action for damages arising from the failure to access prescription drug information as required or authorized by Section 481.0764 or failure to submit the information to the board as required under Section 481.074(q) or 481.075, unless the failure constitutes gross negligence or wilful misconduct and the prescriber or dispenser would be liable to the claimant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establish a standard of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481.0768.</w:t>
      </w:r>
      <w:r>
        <w:rPr>
          <w:u w:val="single"/>
        </w:rPr>
        <w:t xml:space="preserve"> </w:t>
      </w:r>
      <w:r>
        <w:rPr>
          <w:u w:val="single"/>
        </w:rPr>
        <w:t xml:space="preserve"> </w:t>
      </w:r>
      <w:r>
        <w:rPr>
          <w:u w:val="single"/>
        </w:rPr>
        <w:t xml:space="preserve">ADMINISTRATIVE PENALTY: </w:t>
      </w:r>
      <w:r>
        <w:rPr>
          <w:u w:val="single"/>
        </w:rPr>
        <w:t xml:space="preserve"> </w:t>
      </w:r>
      <w:r>
        <w:rPr>
          <w:u w:val="single"/>
        </w:rPr>
        <w:t xml:space="preserve">DISCLOSURE OR USE OF INFORMATION. </w:t>
      </w:r>
      <w:r>
        <w:rPr>
          <w:u w:val="single"/>
        </w:rPr>
        <w:t xml:space="preserve"> </w:t>
      </w:r>
      <w:r>
        <w:rPr>
          <w:u w:val="single"/>
        </w:rPr>
        <w:t xml:space="preserve">(a) </w:t>
      </w:r>
      <w:r>
        <w:rPr>
          <w:u w:val="single"/>
        </w:rPr>
        <w:t xml:space="preserve"> </w:t>
      </w:r>
      <w:r>
        <w:rPr>
          <w:u w:val="single"/>
        </w:rPr>
        <w:t xml:space="preserve">A person authorized to receive information under Section 481.076(a) may not disclose or use the information in a manner not authorized by this subchapter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regulatory agency that issues a license, certification, or registration to a prescriber or dispenser shall periodically update the administrative penalties, or any applicable disciplinary guidelines concerning the penalties, assessed by that agency for conduct that violates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set the penalties in an amount sufficient to deter the conduct.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481.073, 481.074, 481.075, 481.076, 481.0761, 481.0762, 481.0763, </w:t>
      </w:r>
      <w:r>
        <w:rPr>
          <w:u w:val="single"/>
        </w:rPr>
        <w:t xml:space="preserve">481.07635,</w:t>
      </w:r>
      <w:r>
        <w:t xml:space="preserve"> </w:t>
      </w:r>
      <w:r>
        <w:t xml:space="preserve">481.0764, 481.0765, </w:t>
      </w:r>
      <w:r>
        <w:rPr>
          <w:u w:val="single"/>
        </w:rPr>
        <w:t xml:space="preserve">481.07655,</w:t>
      </w:r>
      <w:r>
        <w:t xml:space="preserve"> </w:t>
      </w:r>
      <w:r>
        <w:t xml:space="preserve">[</w:t>
      </w:r>
      <w:r>
        <w:rPr>
          <w:strike/>
        </w:rPr>
        <w:t xml:space="preserve">and</w:t>
      </w:r>
      <w:r>
        <w:t xml:space="preserve">] 481.0766</w:t>
      </w:r>
      <w:r>
        <w:rPr>
          <w:u w:val="single"/>
        </w:rPr>
        <w:t xml:space="preserve">, and 481.0768</w:t>
      </w:r>
      <w:r>
        <w:t xml:space="preserve">. </w:t>
      </w:r>
      <w:r>
        <w:t xml:space="preserve"> </w:t>
      </w:r>
      <w:r>
        <w:t xml:space="preserve">The board may adopt rules to administer Sections 481.073, 481.074, 481.075, </w:t>
      </w:r>
      <w:r>
        <w:rPr>
          <w:u w:val="single"/>
        </w:rPr>
        <w:t xml:space="preserve">481.0751, 481.0755,</w:t>
      </w:r>
      <w:r>
        <w:t xml:space="preserve"> 481.076, 481.0761, 481.0762, 481.0763, </w:t>
      </w:r>
      <w:r>
        <w:rPr>
          <w:u w:val="single"/>
        </w:rPr>
        <w:t xml:space="preserve">481.07635,</w:t>
      </w:r>
      <w:r>
        <w:t xml:space="preserve"> </w:t>
      </w:r>
      <w:r>
        <w:t xml:space="preserve">481.0764, 481.0765, </w:t>
      </w:r>
      <w:r>
        <w:rPr>
          <w:u w:val="single"/>
        </w:rPr>
        <w:t xml:space="preserve">481.07655,</w:t>
      </w:r>
      <w:r>
        <w:t xml:space="preserve"> </w:t>
      </w:r>
      <w:r>
        <w:t xml:space="preserve">[</w:t>
      </w:r>
      <w:r>
        <w:rPr>
          <w:strike/>
        </w:rPr>
        <w:t xml:space="preserve">and</w:t>
      </w:r>
      <w:r>
        <w:t xml:space="preserve">] 481.0766</w:t>
      </w:r>
      <w:r>
        <w:rPr>
          <w:u w:val="single"/>
        </w:rPr>
        <w:t xml:space="preserve">, and 481.0768</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registrant or dispenser commits an offense if the registrant or dispenser knowingly:</w:t>
      </w:r>
    </w:p>
    <w:p w:rsidR="003F3435" w:rsidRDefault="0032493E">
      <w:pPr>
        <w:spacing w:line="480" w:lineRule="auto"/>
        <w:ind w:firstLine="1440"/>
        <w:jc w:val="both"/>
      </w:pPr>
      <w:r>
        <w:t xml:space="preserve">(1)</w:t>
      </w:r>
      <w:r xml:space="preserve">
        <w:t> </w:t>
      </w:r>
      <w:r xml:space="preserve">
        <w:t> </w:t>
      </w:r>
      <w:r>
        <w:t xml:space="preserve">distributes, delivers, administers, or dispenses a controlled substance in violation of </w:t>
      </w:r>
      <w:r>
        <w:rPr>
          <w:u w:val="single"/>
        </w:rPr>
        <w:t xml:space="preserve">Subchapter C</w:t>
      </w:r>
      <w:r>
        <w:t xml:space="preserve"> [</w:t>
      </w:r>
      <w:r>
        <w:rPr>
          <w:strike/>
        </w:rPr>
        <w:t xml:space="preserve">Sections 481.070-481.075</w:t>
      </w:r>
      <w:r>
        <w:t xml:space="preserve">];</w:t>
      </w:r>
    </w:p>
    <w:p w:rsidR="003F3435" w:rsidRDefault="0032493E">
      <w:pPr>
        <w:spacing w:line="480" w:lineRule="auto"/>
        <w:ind w:firstLine="1440"/>
        <w:jc w:val="both"/>
      </w:pPr>
      <w:r>
        <w:t xml:space="preserve">(2)</w:t>
      </w:r>
      <w:r xml:space="preserve">
        <w:t> </w:t>
      </w:r>
      <w:r xml:space="preserve">
        <w:t> </w:t>
      </w:r>
      <w:r>
        <w:t xml:space="preserve">manufactures a controlled substance not authorized by the person's Federal Drug Enforcement Administration registration or distributes or dispenses a controlled substance not authorized by the person's registration to another registrant or other person;</w:t>
      </w:r>
    </w:p>
    <w:p w:rsidR="003F3435" w:rsidRDefault="0032493E">
      <w:pPr>
        <w:spacing w:line="480" w:lineRule="auto"/>
        <w:ind w:firstLine="1440"/>
        <w:jc w:val="both"/>
      </w:pPr>
      <w:r>
        <w:t xml:space="preserve">(3)</w:t>
      </w:r>
      <w:r xml:space="preserve">
        <w:t> </w:t>
      </w:r>
      <w:r xml:space="preserve">
        <w:t> </w:t>
      </w:r>
      <w:r>
        <w:t xml:space="preserve">refuses or fails to make, keep, or furnish a record, report, notification, order form, statement, invoice, or information required by this chapter;</w:t>
      </w:r>
    </w:p>
    <w:p w:rsidR="003F3435" w:rsidRDefault="0032493E">
      <w:pPr>
        <w:spacing w:line="480" w:lineRule="auto"/>
        <w:ind w:firstLine="1440"/>
        <w:jc w:val="both"/>
      </w:pPr>
      <w:r>
        <w:t xml:space="preserve">(4)</w:t>
      </w:r>
      <w:r xml:space="preserve">
        <w:t> </w:t>
      </w:r>
      <w:r xml:space="preserve">
        <w:t> </w:t>
      </w:r>
      <w:r>
        <w:t xml:space="preserve">prints, manufactures, possesses, or produces an official prescription form without the approval of the board;</w:t>
      </w:r>
    </w:p>
    <w:p w:rsidR="003F3435" w:rsidRDefault="0032493E">
      <w:pPr>
        <w:spacing w:line="480" w:lineRule="auto"/>
        <w:ind w:firstLine="1440"/>
        <w:jc w:val="both"/>
      </w:pPr>
      <w:r>
        <w:t xml:space="preserve">(5)</w:t>
      </w:r>
      <w:r xml:space="preserve">
        <w:t> </w:t>
      </w:r>
      <w:r xml:space="preserve">
        <w:t> </w:t>
      </w:r>
      <w:r>
        <w:t xml:space="preserve">delivers or possesses a counterfeit official prescription form;</w:t>
      </w:r>
    </w:p>
    <w:p w:rsidR="003F3435" w:rsidRDefault="0032493E">
      <w:pPr>
        <w:spacing w:line="480" w:lineRule="auto"/>
        <w:ind w:firstLine="1440"/>
        <w:jc w:val="both"/>
      </w:pPr>
      <w:r>
        <w:t xml:space="preserve">(6)</w:t>
      </w:r>
      <w:r xml:space="preserve">
        <w:t> </w:t>
      </w:r>
      <w:r xml:space="preserve">
        <w:t> </w:t>
      </w:r>
      <w:r>
        <w:t xml:space="preserve">refuses an entry into a premise for an inspection authorized by this chapter;</w:t>
      </w:r>
    </w:p>
    <w:p w:rsidR="003F3435" w:rsidRDefault="0032493E">
      <w:pPr>
        <w:spacing w:line="480" w:lineRule="auto"/>
        <w:ind w:firstLine="1440"/>
        <w:jc w:val="both"/>
      </w:pPr>
      <w:r>
        <w:t xml:space="preserve">(7)</w:t>
      </w:r>
      <w:r xml:space="preserve">
        <w:t> </w:t>
      </w:r>
      <w:r xml:space="preserve">
        <w:t> </w:t>
      </w:r>
      <w:r>
        <w:t xml:space="preserve">refuses or fails to return an official prescription form as required by Section 481.075(k);</w:t>
      </w:r>
    </w:p>
    <w:p w:rsidR="003F3435" w:rsidRDefault="0032493E">
      <w:pPr>
        <w:spacing w:line="480" w:lineRule="auto"/>
        <w:ind w:firstLine="1440"/>
        <w:jc w:val="both"/>
      </w:pPr>
      <w:r>
        <w:t xml:space="preserve">(8)</w:t>
      </w:r>
      <w:r xml:space="preserve">
        <w:t> </w:t>
      </w:r>
      <w:r xml:space="preserve">
        <w:t> </w:t>
      </w:r>
      <w:r>
        <w:t xml:space="preserve">refuses or fails to make, keep, or furnish a record, report, notification, order form, statement, invoice, or information required by a rule adopted by the director or the board; or</w:t>
      </w:r>
    </w:p>
    <w:p w:rsidR="003F3435" w:rsidRDefault="0032493E">
      <w:pPr>
        <w:spacing w:line="480" w:lineRule="auto"/>
        <w:ind w:firstLine="1440"/>
        <w:jc w:val="both"/>
      </w:pPr>
      <w:r>
        <w:t xml:space="preserve">(9)</w:t>
      </w:r>
      <w:r xml:space="preserve">
        <w:t> </w:t>
      </w:r>
      <w:r xml:space="preserve">
        <w:t> </w:t>
      </w:r>
      <w:r>
        <w:t xml:space="preserve">refuses or fails to maintain security required by this chapter or a rule adopted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481.129(a),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distributes as a registrant or dispenser a controlled substance listed in Schedule I or II, unless the person distributes the controlled substance as authorized under the federal Controlled Substances Act (21 U.S.C. Section 801 et seq.);</w:t>
      </w:r>
    </w:p>
    <w:p w:rsidR="003F3435" w:rsidRDefault="0032493E">
      <w:pPr>
        <w:spacing w:line="480" w:lineRule="auto"/>
        <w:ind w:firstLine="1440"/>
        <w:jc w:val="both"/>
      </w:pPr>
      <w:r>
        <w:t xml:space="preserve">(2)</w:t>
      </w:r>
      <w:r xml:space="preserve">
        <w:t> </w:t>
      </w:r>
      <w:r xml:space="preserve">
        <w:t> </w:t>
      </w:r>
      <w:r>
        <w:t xml:space="preserve">uses in the course of manufacturing, prescribing, or distributing a controlled substance a Federal Drug Enforcement Administration registration number that is fictitious, revoked, suspended, or issued to another person;</w:t>
      </w:r>
    </w:p>
    <w:p w:rsidR="003F3435" w:rsidRDefault="0032493E">
      <w:pPr>
        <w:spacing w:line="480" w:lineRule="auto"/>
        <w:ind w:firstLine="1440"/>
        <w:jc w:val="both"/>
      </w:pPr>
      <w:r>
        <w:t xml:space="preserve">(3)</w:t>
      </w:r>
      <w:r xml:space="preserve">
        <w:t> </w:t>
      </w:r>
      <w:r xml:space="preserve">
        <w:t> </w:t>
      </w:r>
      <w:r>
        <w:t xml:space="preserve">issues a prescription bearing a forged or fictitious signature;</w:t>
      </w:r>
    </w:p>
    <w:p w:rsidR="003F3435" w:rsidRDefault="0032493E">
      <w:pPr>
        <w:spacing w:line="480" w:lineRule="auto"/>
        <w:ind w:firstLine="1440"/>
        <w:jc w:val="both"/>
      </w:pPr>
      <w:r>
        <w:t xml:space="preserve">(4)</w:t>
      </w:r>
      <w:r xml:space="preserve">
        <w:t> </w:t>
      </w:r>
      <w:r xml:space="preserve">
        <w:t> </w:t>
      </w:r>
      <w:r>
        <w:t xml:space="preserve">uses a prescription issued to another person to prescribe a Schedule II controlled substance;</w:t>
      </w:r>
    </w:p>
    <w:p w:rsidR="003F3435" w:rsidRDefault="0032493E">
      <w:pPr>
        <w:spacing w:line="480" w:lineRule="auto"/>
        <w:ind w:firstLine="1440"/>
        <w:jc w:val="both"/>
      </w:pPr>
      <w:r>
        <w:t xml:space="preserve">(5)</w:t>
      </w:r>
      <w:r xml:space="preserve">
        <w:t> </w:t>
      </w:r>
      <w:r xml:space="preserve">
        <w:t> </w:t>
      </w:r>
      <w:r>
        <w:t xml:space="preserve">possesses, obtains, or attempts to possess or obtain a controlled substance or an increased quantity of a controlled substance:</w:t>
      </w:r>
    </w:p>
    <w:p w:rsidR="003F3435" w:rsidRDefault="0032493E">
      <w:pPr>
        <w:spacing w:line="480" w:lineRule="auto"/>
        <w:ind w:firstLine="2160"/>
        <w:jc w:val="both"/>
      </w:pPr>
      <w:r>
        <w:t xml:space="preserve">(A)</w:t>
      </w:r>
      <w:r xml:space="preserve">
        <w:t> </w:t>
      </w:r>
      <w:r xml:space="preserve">
        <w:t> </w:t>
      </w:r>
      <w:r>
        <w:t xml:space="preserve">by misrepresentation, fraud, forgery, deception, or subterfuge;</w:t>
      </w:r>
    </w:p>
    <w:p w:rsidR="003F3435" w:rsidRDefault="0032493E">
      <w:pPr>
        <w:spacing w:line="480" w:lineRule="auto"/>
        <w:ind w:firstLine="2160"/>
        <w:jc w:val="both"/>
      </w:pPr>
      <w:r>
        <w:t xml:space="preserve">(B)</w:t>
      </w:r>
      <w:r xml:space="preserve">
        <w:t> </w:t>
      </w:r>
      <w:r xml:space="preserve">
        <w:t> </w:t>
      </w:r>
      <w:r>
        <w:t xml:space="preserve">through use of a fraudulent prescription form;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through use of a fraudulent oral or telephonically communicated prescription;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use of a fraudulent electronic prescription; or</w:t>
      </w:r>
    </w:p>
    <w:p w:rsidR="003F3435" w:rsidRDefault="0032493E">
      <w:pPr>
        <w:spacing w:line="480" w:lineRule="auto"/>
        <w:ind w:firstLine="1440"/>
        <w:jc w:val="both"/>
      </w:pPr>
      <w:r>
        <w:t xml:space="preserve">(6)</w:t>
      </w:r>
      <w:r xml:space="preserve">
        <w:t> </w:t>
      </w:r>
      <w:r xml:space="preserve">
        <w:t> </w:t>
      </w:r>
      <w:r>
        <w:t xml:space="preserve">furnishes false or fraudulent material information in or omits material information from an application, report, record, or other document required to be kept or filed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481.073, 481.074, 481.075, </w:t>
      </w:r>
      <w:r>
        <w:rPr>
          <w:u w:val="single"/>
        </w:rPr>
        <w:t xml:space="preserve">481.0751, 481.0755,</w:t>
      </w:r>
      <w:r>
        <w:t xml:space="preserve"> </w:t>
      </w:r>
      <w:r>
        <w:t xml:space="preserve">481.076, 481.0761, 481.0762, 481.0763, </w:t>
      </w:r>
      <w:r>
        <w:rPr>
          <w:u w:val="single"/>
        </w:rPr>
        <w:t xml:space="preserve">481.07635,</w:t>
      </w:r>
      <w:r>
        <w:t xml:space="preserve"> </w:t>
      </w:r>
      <w:r>
        <w:t xml:space="preserve">481.0764, 481.0765, </w:t>
      </w:r>
      <w:r>
        <w:rPr>
          <w:u w:val="single"/>
        </w:rPr>
        <w:t xml:space="preserve">481.07655,</w:t>
      </w:r>
      <w:r>
        <w:t xml:space="preserve"> </w:t>
      </w:r>
      <w:r>
        <w:t xml:space="preserve">[</w:t>
      </w:r>
      <w:r>
        <w:rPr>
          <w:strike/>
        </w:rPr>
        <w:t xml:space="preserve">and</w:t>
      </w:r>
      <w:r>
        <w:t xml:space="preserve">] 481.0766, </w:t>
      </w:r>
      <w:r>
        <w:rPr>
          <w:u w:val="single"/>
        </w:rPr>
        <w:t xml:space="preserve">and 481.0768,</w:t>
      </w:r>
      <w:r>
        <w:t xml:space="preserve"> </w:t>
      </w:r>
      <w:r>
        <w:t xml:space="preserve">Health and Safety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481.073,</w:t>
      </w:r>
      <w:r>
        <w:t xml:space="preserve"> 481.074</w:t>
      </w:r>
      <w:r>
        <w:rPr>
          <w:u w:val="single"/>
        </w:rPr>
        <w:t xml:space="preserve">,</w:t>
      </w:r>
      <w:r>
        <w:t xml:space="preserve"> [</w:t>
      </w:r>
      <w:r>
        <w:rPr>
          <w:strike/>
        </w:rPr>
        <w:t xml:space="preserve">or</w:t>
      </w:r>
      <w:r>
        <w:t xml:space="preserve">] 481.075, </w:t>
      </w:r>
      <w:r>
        <w:rPr>
          <w:u w:val="single"/>
        </w:rPr>
        <w:t xml:space="preserve">481.0751, 481.0755, 481.076, 481.0761, 481.0762, 481.0763, 481.07635, 481.0764, 481.0765, 481.07655, 481.0766, or 481.0768,</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481.076(a-3), (a-4), and (a-5), Health and Safety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481.0751, Health and Safety Code, as added by this Act, applies only to a controlled substance dispensed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481.0755, 481.07635, and 481.07655, Health and Safety Code, as added by this Act, apply only to a prescription issued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481.0768(a), Health and Safety Code, as added by this Act, applies only to conduct that occurs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