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86R6124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H.B.</w:t>
      </w:r>
      <w:r xml:space="preserve">
        <w:t> </w:t>
      </w:r>
      <w:r>
        <w:t xml:space="preserve">No.</w:t>
      </w:r>
      <w:r xml:space="preserve">
        <w:t> </w:t>
      </w:r>
      <w:r>
        <w:t xml:space="preserve">3286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Medicaid reimbursement for medication-assisted treatment for opioid or substance use disorder.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32.03115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32.03115.</w:t>
      </w:r>
      <w:r>
        <w:rPr>
          <w:u w:val="single"/>
        </w:rPr>
        <w:t xml:space="preserve"> </w:t>
      </w:r>
      <w:r>
        <w:rPr>
          <w:u w:val="single"/>
        </w:rPr>
        <w:t xml:space="preserve"> </w:t>
      </w:r>
      <w:r>
        <w:rPr>
          <w:u w:val="single"/>
        </w:rPr>
        <w:t xml:space="preserve">REIMBURSEMENT FOR MEDICATION-ASSISTED TREATMENT FOR OPIOID OR SUBSTANCE USE DISORDER.  (a)  In this section, "medication-assisted opioid or substance use disorder treatment" means the use of methadone, buprenorphine, or naltrexone to treat opioid or substance use disorder.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Sections 531.072 and 531.073, Government Code, or any other law and subject to Subsection (c), the commission shall provide medical assistance reimbursement for medication-assisted opioid or substance use disorder treatment without requiring a recipient of medical assistance or health care provider to obtain prior authorization or precertification for the treatment.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provide medical assistance reimbursement for medication-assisted opioid or substance use disorder treatment only if the treatment is prescribed to a recipient of medical assistance by a licensed health care provider who is authorized to prescribe methadone, buprenorphine, or naltrexone.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